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37E6E" w:rsidRPr="00037E6E" w:rsidRDefault="00037E6E" w:rsidP="00037E6E">
      <w:pPr>
        <w:widowControl/>
        <w:shd w:val="clear" w:color="auto" w:fill="FFFFFF"/>
        <w:spacing w:line="450" w:lineRule="atLeast"/>
        <w:jc w:val="left"/>
        <w:rPr>
          <w:rFonts w:asciiTheme="minorEastAsia" w:hAnsiTheme="minorEastAsia" w:cs="Arial"/>
          <w:bCs/>
          <w:color w:val="333333"/>
          <w:kern w:val="0"/>
          <w:sz w:val="27"/>
          <w:szCs w:val="27"/>
        </w:rPr>
      </w:pPr>
      <w:r w:rsidRPr="00037E6E">
        <w:rPr>
          <w:rFonts w:asciiTheme="minorEastAsia" w:hAnsiTheme="minorEastAsia" w:cs="Arial" w:hint="eastAsia"/>
          <w:bCs/>
          <w:color w:val="333333"/>
          <w:kern w:val="0"/>
          <w:sz w:val="27"/>
          <w:szCs w:val="27"/>
        </w:rPr>
        <w:t>最高人民法院</w:t>
      </w:r>
    </w:p>
    <w:p w:rsidR="00037E6E" w:rsidRPr="00037E6E" w:rsidRDefault="00037E6E" w:rsidP="00037E6E">
      <w:pPr>
        <w:widowControl/>
        <w:shd w:val="clear" w:color="auto" w:fill="FFFFFF"/>
        <w:spacing w:line="450" w:lineRule="atLeast"/>
        <w:jc w:val="left"/>
        <w:rPr>
          <w:rFonts w:asciiTheme="minorEastAsia" w:hAnsiTheme="minorEastAsia" w:cs="Arial"/>
          <w:bCs/>
          <w:color w:val="333333"/>
          <w:kern w:val="0"/>
          <w:sz w:val="27"/>
          <w:szCs w:val="27"/>
        </w:rPr>
      </w:pPr>
      <w:r w:rsidRPr="00037E6E">
        <w:rPr>
          <w:rFonts w:asciiTheme="minorEastAsia" w:hAnsiTheme="minorEastAsia" w:cs="Arial" w:hint="eastAsia"/>
          <w:bCs/>
          <w:color w:val="333333"/>
          <w:kern w:val="0"/>
          <w:sz w:val="27"/>
          <w:szCs w:val="27"/>
        </w:rPr>
        <w:t>2024年8月21日</w:t>
      </w:r>
    </w:p>
    <w:p w:rsidR="00037E6E" w:rsidRPr="00037E6E" w:rsidRDefault="00037E6E" w:rsidP="00037E6E">
      <w:pPr>
        <w:widowControl/>
        <w:shd w:val="clear" w:color="auto" w:fill="FFFFFF"/>
        <w:spacing w:line="450" w:lineRule="atLeast"/>
        <w:jc w:val="left"/>
        <w:rPr>
          <w:rFonts w:asciiTheme="minorEastAsia" w:hAnsiTheme="minorEastAsia" w:cs="Arial"/>
          <w:bCs/>
          <w:color w:val="333333"/>
          <w:kern w:val="0"/>
          <w:sz w:val="27"/>
          <w:szCs w:val="27"/>
        </w:rPr>
      </w:pPr>
      <w:r w:rsidRPr="00037E6E">
        <w:rPr>
          <w:rFonts w:asciiTheme="minorEastAsia" w:hAnsiTheme="minorEastAsia" w:cs="Arial" w:hint="eastAsia"/>
          <w:bCs/>
          <w:color w:val="333333"/>
          <w:kern w:val="0"/>
          <w:sz w:val="27"/>
          <w:szCs w:val="27"/>
        </w:rPr>
        <w:t>法释〔2024〕9号</w:t>
      </w:r>
    </w:p>
    <w:p w:rsidR="00037E6E" w:rsidRDefault="00037E6E" w:rsidP="00037E6E">
      <w:pPr>
        <w:widowControl/>
        <w:shd w:val="clear" w:color="auto" w:fill="FFFFFF"/>
        <w:spacing w:line="450" w:lineRule="atLeast"/>
        <w:jc w:val="left"/>
        <w:rPr>
          <w:rFonts w:ascii="Arial" w:eastAsia="宋体" w:hAnsi="Arial" w:cs="Arial"/>
          <w:b/>
          <w:bCs/>
          <w:color w:val="333333"/>
          <w:kern w:val="0"/>
          <w:sz w:val="27"/>
          <w:szCs w:val="27"/>
        </w:rPr>
      </w:pPr>
    </w:p>
    <w:p w:rsidR="00D62759" w:rsidRPr="00D62759" w:rsidRDefault="00D62759" w:rsidP="00D62759">
      <w:pPr>
        <w:widowControl/>
        <w:shd w:val="clear" w:color="auto" w:fill="FFFFFF"/>
        <w:spacing w:line="450" w:lineRule="atLeast"/>
        <w:jc w:val="left"/>
        <w:rPr>
          <w:rFonts w:ascii="Arial" w:eastAsia="宋体" w:hAnsi="Arial" w:cs="Arial"/>
          <w:color w:val="222222"/>
          <w:kern w:val="0"/>
          <w:sz w:val="27"/>
          <w:szCs w:val="27"/>
        </w:rPr>
      </w:pPr>
      <w:r>
        <w:rPr>
          <w:rFonts w:ascii="Arial" w:eastAsia="宋体" w:hAnsi="Arial" w:cs="Arial" w:hint="eastAsia"/>
          <w:b/>
          <w:bCs/>
          <w:color w:val="333333"/>
          <w:kern w:val="0"/>
          <w:sz w:val="27"/>
          <w:szCs w:val="27"/>
        </w:rPr>
        <w:t>《</w:t>
      </w:r>
      <w:r w:rsidRPr="00D62759">
        <w:rPr>
          <w:rFonts w:ascii="Arial" w:eastAsia="宋体" w:hAnsi="Arial" w:cs="Arial"/>
          <w:b/>
          <w:bCs/>
          <w:color w:val="333333"/>
          <w:kern w:val="0"/>
          <w:sz w:val="27"/>
          <w:szCs w:val="27"/>
        </w:rPr>
        <w:t>最高人民法院关于审理食品药品惩罚性赔偿纠纷案件适用法律若干问题的解释</w:t>
      </w:r>
      <w:r>
        <w:rPr>
          <w:rFonts w:ascii="Arial" w:eastAsia="宋体" w:hAnsi="Arial" w:cs="Arial" w:hint="eastAsia"/>
          <w:b/>
          <w:bCs/>
          <w:color w:val="333333"/>
          <w:kern w:val="0"/>
          <w:sz w:val="27"/>
          <w:szCs w:val="27"/>
        </w:rPr>
        <w:t>》</w:t>
      </w:r>
    </w:p>
    <w:p w:rsidR="00D62759" w:rsidRPr="00D62759" w:rsidRDefault="00D62759" w:rsidP="00D62759">
      <w:pPr>
        <w:widowControl/>
        <w:shd w:val="clear" w:color="auto" w:fill="FFFFFF"/>
        <w:spacing w:line="450" w:lineRule="atLeast"/>
        <w:jc w:val="left"/>
        <w:rPr>
          <w:rFonts w:ascii="Arial" w:eastAsia="宋体" w:hAnsi="Arial" w:cs="Arial"/>
          <w:color w:val="222222"/>
          <w:kern w:val="0"/>
          <w:sz w:val="27"/>
          <w:szCs w:val="27"/>
        </w:rPr>
      </w:pPr>
      <w:r w:rsidRPr="00D62759">
        <w:rPr>
          <w:rFonts w:ascii="Arial" w:eastAsia="宋体" w:hAnsi="Arial" w:cs="Arial"/>
          <w:color w:val="222222"/>
          <w:kern w:val="0"/>
          <w:sz w:val="27"/>
          <w:szCs w:val="27"/>
        </w:rPr>
        <w:t>（</w:t>
      </w:r>
      <w:r w:rsidRPr="00D62759">
        <w:rPr>
          <w:rFonts w:ascii="Arial" w:eastAsia="宋体" w:hAnsi="Arial" w:cs="Arial"/>
          <w:color w:val="222222"/>
          <w:kern w:val="0"/>
          <w:sz w:val="27"/>
          <w:szCs w:val="27"/>
        </w:rPr>
        <w:t>2024</w:t>
      </w:r>
      <w:r w:rsidRPr="00D62759">
        <w:rPr>
          <w:rFonts w:ascii="Arial" w:eastAsia="宋体" w:hAnsi="Arial" w:cs="Arial"/>
          <w:color w:val="222222"/>
          <w:kern w:val="0"/>
          <w:sz w:val="27"/>
          <w:szCs w:val="27"/>
        </w:rPr>
        <w:t>年</w:t>
      </w:r>
      <w:r w:rsidRPr="00D62759">
        <w:rPr>
          <w:rFonts w:ascii="Arial" w:eastAsia="宋体" w:hAnsi="Arial" w:cs="Arial"/>
          <w:color w:val="222222"/>
          <w:kern w:val="0"/>
          <w:sz w:val="27"/>
          <w:szCs w:val="27"/>
        </w:rPr>
        <w:t>3</w:t>
      </w:r>
      <w:r w:rsidRPr="00D62759">
        <w:rPr>
          <w:rFonts w:ascii="Arial" w:eastAsia="宋体" w:hAnsi="Arial" w:cs="Arial"/>
          <w:color w:val="222222"/>
          <w:kern w:val="0"/>
          <w:sz w:val="27"/>
          <w:szCs w:val="27"/>
        </w:rPr>
        <w:t>月</w:t>
      </w:r>
      <w:r w:rsidRPr="00D62759">
        <w:rPr>
          <w:rFonts w:ascii="Arial" w:eastAsia="宋体" w:hAnsi="Arial" w:cs="Arial"/>
          <w:color w:val="222222"/>
          <w:kern w:val="0"/>
          <w:sz w:val="27"/>
          <w:szCs w:val="27"/>
        </w:rPr>
        <w:t>18</w:t>
      </w:r>
      <w:r w:rsidRPr="00D62759">
        <w:rPr>
          <w:rFonts w:ascii="Arial" w:eastAsia="宋体" w:hAnsi="Arial" w:cs="Arial"/>
          <w:color w:val="222222"/>
          <w:kern w:val="0"/>
          <w:sz w:val="27"/>
          <w:szCs w:val="27"/>
        </w:rPr>
        <w:t>日最高人民法院审判委员会第</w:t>
      </w:r>
      <w:r w:rsidRPr="00D62759">
        <w:rPr>
          <w:rFonts w:ascii="Arial" w:eastAsia="宋体" w:hAnsi="Arial" w:cs="Arial"/>
          <w:color w:val="222222"/>
          <w:kern w:val="0"/>
          <w:sz w:val="27"/>
          <w:szCs w:val="27"/>
        </w:rPr>
        <w:t>1918</w:t>
      </w:r>
      <w:r w:rsidRPr="00D62759">
        <w:rPr>
          <w:rFonts w:ascii="Arial" w:eastAsia="宋体" w:hAnsi="Arial" w:cs="Arial"/>
          <w:color w:val="222222"/>
          <w:kern w:val="0"/>
          <w:sz w:val="27"/>
          <w:szCs w:val="27"/>
        </w:rPr>
        <w:t>次会议通过，自</w:t>
      </w:r>
      <w:r w:rsidRPr="00D62759">
        <w:rPr>
          <w:rFonts w:ascii="Arial" w:eastAsia="宋体" w:hAnsi="Arial" w:cs="Arial"/>
          <w:color w:val="222222"/>
          <w:kern w:val="0"/>
          <w:sz w:val="27"/>
          <w:szCs w:val="27"/>
        </w:rPr>
        <w:t>2024</w:t>
      </w:r>
      <w:r w:rsidRPr="00D62759">
        <w:rPr>
          <w:rFonts w:ascii="Arial" w:eastAsia="宋体" w:hAnsi="Arial" w:cs="Arial"/>
          <w:color w:val="222222"/>
          <w:kern w:val="0"/>
          <w:sz w:val="27"/>
          <w:szCs w:val="27"/>
        </w:rPr>
        <w:t>年</w:t>
      </w:r>
      <w:r w:rsidRPr="00D62759">
        <w:rPr>
          <w:rFonts w:ascii="Arial" w:eastAsia="宋体" w:hAnsi="Arial" w:cs="Arial"/>
          <w:color w:val="222222"/>
          <w:kern w:val="0"/>
          <w:sz w:val="27"/>
          <w:szCs w:val="27"/>
        </w:rPr>
        <w:t>8</w:t>
      </w:r>
      <w:r w:rsidRPr="00D62759">
        <w:rPr>
          <w:rFonts w:ascii="Arial" w:eastAsia="宋体" w:hAnsi="Arial" w:cs="Arial"/>
          <w:color w:val="222222"/>
          <w:kern w:val="0"/>
          <w:sz w:val="27"/>
          <w:szCs w:val="27"/>
        </w:rPr>
        <w:t>月</w:t>
      </w:r>
      <w:r w:rsidRPr="00D62759">
        <w:rPr>
          <w:rFonts w:ascii="Arial" w:eastAsia="宋体" w:hAnsi="Arial" w:cs="Arial"/>
          <w:color w:val="222222"/>
          <w:kern w:val="0"/>
          <w:sz w:val="27"/>
          <w:szCs w:val="27"/>
        </w:rPr>
        <w:t>22</w:t>
      </w:r>
      <w:r w:rsidRPr="00D62759">
        <w:rPr>
          <w:rFonts w:ascii="Arial" w:eastAsia="宋体" w:hAnsi="Arial" w:cs="Arial"/>
          <w:color w:val="222222"/>
          <w:kern w:val="0"/>
          <w:sz w:val="27"/>
          <w:szCs w:val="27"/>
        </w:rPr>
        <w:t>日起施行）</w:t>
      </w:r>
    </w:p>
    <w:p w:rsidR="00D62759" w:rsidRPr="00D62759" w:rsidRDefault="00D62759" w:rsidP="00037E6E">
      <w:pPr>
        <w:widowControl/>
        <w:shd w:val="clear" w:color="auto" w:fill="FFFFFF"/>
        <w:spacing w:line="450" w:lineRule="atLeast"/>
        <w:ind w:firstLineChars="200" w:firstLine="540"/>
        <w:jc w:val="left"/>
        <w:rPr>
          <w:rFonts w:ascii="Arial" w:eastAsia="宋体" w:hAnsi="Arial" w:cs="Arial"/>
          <w:color w:val="222222"/>
          <w:kern w:val="0"/>
          <w:sz w:val="27"/>
          <w:szCs w:val="27"/>
        </w:rPr>
      </w:pPr>
      <w:r w:rsidRPr="00D62759">
        <w:rPr>
          <w:rFonts w:ascii="Arial" w:eastAsia="宋体" w:hAnsi="Arial" w:cs="Arial"/>
          <w:color w:val="222222"/>
          <w:kern w:val="0"/>
          <w:sz w:val="27"/>
          <w:szCs w:val="27"/>
        </w:rPr>
        <w:t>为正确审理食品药品惩罚性赔偿纠纷案件，依法保护食品药品安全和消费者合法权益，根据《中华人民共和国民法典》、《中华人民共和国消费者权益保护法》、《中华人民共和国食品安全法》、《中华人民共和国药品管理法》等法律规定，结合审判实践，制定本解释。</w:t>
      </w:r>
    </w:p>
    <w:p w:rsidR="00D62759" w:rsidRPr="00D62759" w:rsidRDefault="00D62759" w:rsidP="00D62759">
      <w:pPr>
        <w:widowControl/>
        <w:shd w:val="clear" w:color="auto" w:fill="FFFFFF"/>
        <w:spacing w:line="450" w:lineRule="atLeast"/>
        <w:jc w:val="left"/>
        <w:rPr>
          <w:rFonts w:ascii="Arial" w:eastAsia="宋体" w:hAnsi="Arial" w:cs="Arial"/>
          <w:color w:val="222222"/>
          <w:kern w:val="0"/>
          <w:sz w:val="27"/>
          <w:szCs w:val="27"/>
        </w:rPr>
      </w:pPr>
      <w:r w:rsidRPr="00D62759">
        <w:rPr>
          <w:rFonts w:ascii="Arial" w:eastAsia="宋体" w:hAnsi="Arial" w:cs="Arial"/>
          <w:b/>
          <w:bCs/>
          <w:color w:val="333333"/>
          <w:kern w:val="0"/>
          <w:sz w:val="27"/>
          <w:szCs w:val="27"/>
        </w:rPr>
        <w:t>第一条</w:t>
      </w:r>
      <w:r w:rsidRPr="00D62759">
        <w:rPr>
          <w:rFonts w:ascii="Arial" w:eastAsia="宋体" w:hAnsi="Arial" w:cs="Arial"/>
          <w:color w:val="222222"/>
          <w:kern w:val="0"/>
          <w:sz w:val="27"/>
          <w:szCs w:val="27"/>
        </w:rPr>
        <w:t>购买者因个人或者家庭生活消费需要购买的食品不符合食品安全标准，购买后依照食品安全法第一百四十八条第二款规定请求生产者或者经营者支付惩罚性赔偿金的，人民法院依法予以支持。</w:t>
      </w:r>
    </w:p>
    <w:p w:rsidR="00D62759" w:rsidRPr="00D62759" w:rsidRDefault="00D62759" w:rsidP="00D62759">
      <w:pPr>
        <w:widowControl/>
        <w:shd w:val="clear" w:color="auto" w:fill="FFFFFF"/>
        <w:spacing w:line="450" w:lineRule="atLeast"/>
        <w:jc w:val="left"/>
        <w:rPr>
          <w:rFonts w:ascii="Arial" w:eastAsia="宋体" w:hAnsi="Arial" w:cs="Arial"/>
          <w:color w:val="222222"/>
          <w:kern w:val="0"/>
          <w:sz w:val="27"/>
          <w:szCs w:val="27"/>
        </w:rPr>
      </w:pPr>
      <w:r w:rsidRPr="00D62759">
        <w:rPr>
          <w:rFonts w:ascii="Arial" w:eastAsia="宋体" w:hAnsi="Arial" w:cs="Arial"/>
          <w:color w:val="222222"/>
          <w:kern w:val="0"/>
          <w:sz w:val="27"/>
          <w:szCs w:val="27"/>
        </w:rPr>
        <w:t>没有证据证明购买者明知所购买食品不符合食品安全标准仍然购买的，人民法院应当根据购买者请求以其实际支付价款为基数计算价款十倍的惩罚性赔偿金。</w:t>
      </w:r>
    </w:p>
    <w:p w:rsidR="00D62759" w:rsidRPr="00D62759" w:rsidRDefault="00D62759" w:rsidP="00D62759">
      <w:pPr>
        <w:widowControl/>
        <w:shd w:val="clear" w:color="auto" w:fill="FFFFFF"/>
        <w:spacing w:line="450" w:lineRule="atLeast"/>
        <w:jc w:val="left"/>
        <w:rPr>
          <w:rFonts w:ascii="Arial" w:eastAsia="宋体" w:hAnsi="Arial" w:cs="Arial"/>
          <w:color w:val="222222"/>
          <w:kern w:val="0"/>
          <w:sz w:val="27"/>
          <w:szCs w:val="27"/>
        </w:rPr>
      </w:pPr>
      <w:r w:rsidRPr="00D62759">
        <w:rPr>
          <w:rFonts w:ascii="Arial" w:eastAsia="宋体" w:hAnsi="Arial" w:cs="Arial"/>
          <w:b/>
          <w:bCs/>
          <w:color w:val="333333"/>
          <w:kern w:val="0"/>
          <w:sz w:val="27"/>
          <w:szCs w:val="27"/>
        </w:rPr>
        <w:t>第二条</w:t>
      </w:r>
      <w:r w:rsidRPr="00D62759">
        <w:rPr>
          <w:rFonts w:ascii="Arial" w:eastAsia="宋体" w:hAnsi="Arial" w:cs="Arial"/>
          <w:b/>
          <w:bCs/>
          <w:color w:val="333333"/>
          <w:kern w:val="0"/>
          <w:sz w:val="27"/>
          <w:szCs w:val="27"/>
        </w:rPr>
        <w:t> </w:t>
      </w:r>
      <w:r w:rsidRPr="00D62759">
        <w:rPr>
          <w:rFonts w:ascii="Arial" w:eastAsia="宋体" w:hAnsi="Arial" w:cs="Arial"/>
          <w:color w:val="222222"/>
          <w:kern w:val="0"/>
          <w:sz w:val="27"/>
          <w:szCs w:val="27"/>
        </w:rPr>
        <w:t>购买者明知所购买食品不符合食品安全标准或者所购买药品是假药、劣药，购买后请求经营者返还价款的，人民法院应予支持。</w:t>
      </w:r>
    </w:p>
    <w:p w:rsidR="00D62759" w:rsidRPr="00D62759" w:rsidRDefault="00D62759" w:rsidP="00D62759">
      <w:pPr>
        <w:widowControl/>
        <w:shd w:val="clear" w:color="auto" w:fill="FFFFFF"/>
        <w:spacing w:line="450" w:lineRule="atLeast"/>
        <w:jc w:val="left"/>
        <w:rPr>
          <w:rFonts w:ascii="Arial" w:eastAsia="宋体" w:hAnsi="Arial" w:cs="Arial"/>
          <w:color w:val="222222"/>
          <w:kern w:val="0"/>
          <w:sz w:val="27"/>
          <w:szCs w:val="27"/>
        </w:rPr>
      </w:pPr>
      <w:r w:rsidRPr="00D62759">
        <w:rPr>
          <w:rFonts w:ascii="Arial" w:eastAsia="宋体" w:hAnsi="Arial" w:cs="Arial"/>
          <w:color w:val="222222"/>
          <w:kern w:val="0"/>
          <w:sz w:val="27"/>
          <w:szCs w:val="27"/>
        </w:rPr>
        <w:lastRenderedPageBreak/>
        <w:t>经营者请求购买者返还食品、药品，如果食品标签、标志或者说明书不符合食品安全标准，食品生产者在采取补救措施且能保证食品安全的情况下可以继续销售的，人民法院应予支持；应当对食品、药品采取无害化处理、销毁等措施的，依照食品安全法、药品管理法的相关规定处理。</w:t>
      </w:r>
    </w:p>
    <w:p w:rsidR="00D62759" w:rsidRPr="00D62759" w:rsidRDefault="00D62759" w:rsidP="00D62759">
      <w:pPr>
        <w:widowControl/>
        <w:shd w:val="clear" w:color="auto" w:fill="FFFFFF"/>
        <w:spacing w:line="450" w:lineRule="atLeast"/>
        <w:jc w:val="left"/>
        <w:rPr>
          <w:rFonts w:ascii="Arial" w:eastAsia="宋体" w:hAnsi="Arial" w:cs="Arial"/>
          <w:color w:val="222222"/>
          <w:kern w:val="0"/>
          <w:sz w:val="27"/>
          <w:szCs w:val="27"/>
        </w:rPr>
      </w:pPr>
      <w:r w:rsidRPr="00D62759">
        <w:rPr>
          <w:rFonts w:ascii="Arial" w:eastAsia="宋体" w:hAnsi="Arial" w:cs="Arial"/>
          <w:b/>
          <w:bCs/>
          <w:color w:val="333333"/>
          <w:kern w:val="0"/>
          <w:sz w:val="27"/>
          <w:szCs w:val="27"/>
        </w:rPr>
        <w:t>第三条</w:t>
      </w:r>
      <w:r w:rsidRPr="00D62759">
        <w:rPr>
          <w:rFonts w:ascii="Arial" w:eastAsia="宋体" w:hAnsi="Arial" w:cs="Arial"/>
          <w:color w:val="222222"/>
          <w:kern w:val="0"/>
          <w:sz w:val="27"/>
          <w:szCs w:val="27"/>
        </w:rPr>
        <w:t>受托人明知购买者委托购买的是不符合食品安全标准的食品或者假药、劣药仍然代购，购买者依照食品安全法第一百四十八条第二款或者药品管理法第一百四十四条第三款规定请求受托人承担惩罚性赔偿责任的，人民法院应予支持，但受托人不以代购为业的除外。</w:t>
      </w:r>
    </w:p>
    <w:p w:rsidR="00D62759" w:rsidRPr="00D62759" w:rsidRDefault="00D62759" w:rsidP="00D62759">
      <w:pPr>
        <w:widowControl/>
        <w:shd w:val="clear" w:color="auto" w:fill="FFFFFF"/>
        <w:spacing w:line="450" w:lineRule="atLeast"/>
        <w:jc w:val="left"/>
        <w:rPr>
          <w:rFonts w:ascii="Arial" w:eastAsia="宋体" w:hAnsi="Arial" w:cs="Arial"/>
          <w:color w:val="222222"/>
          <w:kern w:val="0"/>
          <w:sz w:val="27"/>
          <w:szCs w:val="27"/>
        </w:rPr>
      </w:pPr>
      <w:r w:rsidRPr="00D62759">
        <w:rPr>
          <w:rFonts w:ascii="Arial" w:eastAsia="宋体" w:hAnsi="Arial" w:cs="Arial"/>
          <w:color w:val="222222"/>
          <w:kern w:val="0"/>
          <w:sz w:val="27"/>
          <w:szCs w:val="27"/>
        </w:rPr>
        <w:t>以代购为业的受托人明知是不符合食品安全标准的食品或者假药、劣药仍然代购，向购买者承担惩罚性赔偿责任后向生产者追偿的，人民法院不予支持。受托人不知道是不符合食品安全标准的食品或者假药、劣药而代购，向购买者承担赔偿责任后向生产者追偿的，人民法院依法予以支持。</w:t>
      </w:r>
    </w:p>
    <w:p w:rsidR="00D62759" w:rsidRPr="00D62759" w:rsidRDefault="00D62759" w:rsidP="00D62759">
      <w:pPr>
        <w:widowControl/>
        <w:shd w:val="clear" w:color="auto" w:fill="FFFFFF"/>
        <w:spacing w:line="450" w:lineRule="atLeast"/>
        <w:jc w:val="left"/>
        <w:rPr>
          <w:rFonts w:ascii="Arial" w:eastAsia="宋体" w:hAnsi="Arial" w:cs="Arial"/>
          <w:color w:val="222222"/>
          <w:kern w:val="0"/>
          <w:sz w:val="27"/>
          <w:szCs w:val="27"/>
        </w:rPr>
      </w:pPr>
      <w:r w:rsidRPr="00D62759">
        <w:rPr>
          <w:rFonts w:ascii="Arial" w:eastAsia="宋体" w:hAnsi="Arial" w:cs="Arial"/>
          <w:b/>
          <w:bCs/>
          <w:color w:val="333333"/>
          <w:kern w:val="0"/>
          <w:sz w:val="27"/>
          <w:szCs w:val="27"/>
        </w:rPr>
        <w:t>第四条</w:t>
      </w:r>
      <w:r w:rsidRPr="00D62759">
        <w:rPr>
          <w:rFonts w:ascii="Arial" w:eastAsia="宋体" w:hAnsi="Arial" w:cs="Arial"/>
          <w:color w:val="222222"/>
          <w:kern w:val="0"/>
          <w:sz w:val="27"/>
          <w:szCs w:val="27"/>
        </w:rPr>
        <w:t>食品生产加工小作坊和食品摊贩等生产经营的食品不符合食品安全标准，购买者请求生产者或者经营者依照食品安全法第一百四十八条第二款规定承担惩罚性赔偿责任的，人民法院应予支持。</w:t>
      </w:r>
    </w:p>
    <w:p w:rsidR="00D62759" w:rsidRPr="00D62759" w:rsidRDefault="00D62759" w:rsidP="00D62759">
      <w:pPr>
        <w:widowControl/>
        <w:shd w:val="clear" w:color="auto" w:fill="FFFFFF"/>
        <w:spacing w:line="450" w:lineRule="atLeast"/>
        <w:jc w:val="left"/>
        <w:rPr>
          <w:rFonts w:ascii="Arial" w:eastAsia="宋体" w:hAnsi="Arial" w:cs="Arial"/>
          <w:color w:val="222222"/>
          <w:kern w:val="0"/>
          <w:sz w:val="27"/>
          <w:szCs w:val="27"/>
        </w:rPr>
      </w:pPr>
      <w:r w:rsidRPr="00D62759">
        <w:rPr>
          <w:rFonts w:ascii="Arial" w:eastAsia="宋体" w:hAnsi="Arial" w:cs="Arial"/>
          <w:color w:val="222222"/>
          <w:kern w:val="0"/>
          <w:sz w:val="27"/>
          <w:szCs w:val="27"/>
        </w:rPr>
        <w:t>食品生产加工小作坊和食品摊贩等生产经营的食品不符合省、自治区、直辖市制定的具体管理办法等规定，但符合食品安全标准，购买者请求生产者或者经营者依照食品安全法第一百四十八条第二款规定承担惩罚性赔偿责任的，人民法院不予支持。</w:t>
      </w:r>
    </w:p>
    <w:p w:rsidR="00D62759" w:rsidRPr="00D62759" w:rsidRDefault="00D62759" w:rsidP="00D62759">
      <w:pPr>
        <w:widowControl/>
        <w:shd w:val="clear" w:color="auto" w:fill="FFFFFF"/>
        <w:spacing w:line="450" w:lineRule="atLeast"/>
        <w:jc w:val="left"/>
        <w:rPr>
          <w:rFonts w:ascii="Arial" w:eastAsia="宋体" w:hAnsi="Arial" w:cs="Arial"/>
          <w:color w:val="222222"/>
          <w:kern w:val="0"/>
          <w:sz w:val="27"/>
          <w:szCs w:val="27"/>
        </w:rPr>
      </w:pPr>
      <w:r w:rsidRPr="00D62759">
        <w:rPr>
          <w:rFonts w:ascii="Arial" w:eastAsia="宋体" w:hAnsi="Arial" w:cs="Arial"/>
          <w:b/>
          <w:bCs/>
          <w:color w:val="333333"/>
          <w:kern w:val="0"/>
          <w:sz w:val="27"/>
          <w:szCs w:val="27"/>
        </w:rPr>
        <w:lastRenderedPageBreak/>
        <w:t>第五条</w:t>
      </w:r>
      <w:r w:rsidRPr="00D62759">
        <w:rPr>
          <w:rFonts w:ascii="Arial" w:eastAsia="宋体" w:hAnsi="Arial" w:cs="Arial"/>
          <w:b/>
          <w:bCs/>
          <w:color w:val="333333"/>
          <w:kern w:val="0"/>
          <w:sz w:val="27"/>
          <w:szCs w:val="27"/>
        </w:rPr>
        <w:t> </w:t>
      </w:r>
      <w:r w:rsidRPr="00D62759">
        <w:rPr>
          <w:rFonts w:ascii="Arial" w:eastAsia="宋体" w:hAnsi="Arial" w:cs="Arial"/>
          <w:color w:val="222222"/>
          <w:kern w:val="0"/>
          <w:sz w:val="27"/>
          <w:szCs w:val="27"/>
        </w:rPr>
        <w:t>食品不符合食品中危害人体健康物质的限量规定，食品添加剂的品种、使用范围、用量要求，特定人群的主辅食品的营养成分要求，与卫生、营养等食品安全要求有关的标签、标志、说明书要求以及与食品安全有关的质量要求等方面的食品安全标准，购买者依照食品安全法第一百四十八条第二款规定请求生产者或者经营者承担惩罚性赔偿责任的，人民法院应予支持。</w:t>
      </w:r>
    </w:p>
    <w:p w:rsidR="00D62759" w:rsidRPr="00D62759" w:rsidRDefault="00D62759" w:rsidP="00D62759">
      <w:pPr>
        <w:widowControl/>
        <w:shd w:val="clear" w:color="auto" w:fill="FFFFFF"/>
        <w:spacing w:line="450" w:lineRule="atLeast"/>
        <w:jc w:val="left"/>
        <w:rPr>
          <w:rFonts w:ascii="Arial" w:eastAsia="宋体" w:hAnsi="Arial" w:cs="Arial"/>
          <w:color w:val="222222"/>
          <w:kern w:val="0"/>
          <w:sz w:val="27"/>
          <w:szCs w:val="27"/>
        </w:rPr>
      </w:pPr>
      <w:r w:rsidRPr="00D62759">
        <w:rPr>
          <w:rFonts w:ascii="Arial" w:eastAsia="宋体" w:hAnsi="Arial" w:cs="Arial"/>
          <w:b/>
          <w:bCs/>
          <w:color w:val="333333"/>
          <w:kern w:val="0"/>
          <w:sz w:val="27"/>
          <w:szCs w:val="27"/>
        </w:rPr>
        <w:t>第六条</w:t>
      </w:r>
      <w:r w:rsidRPr="00D62759">
        <w:rPr>
          <w:rFonts w:ascii="Arial" w:eastAsia="宋体" w:hAnsi="Arial" w:cs="Arial"/>
          <w:color w:val="222222"/>
          <w:kern w:val="0"/>
          <w:sz w:val="27"/>
          <w:szCs w:val="27"/>
        </w:rPr>
        <w:t>购买者以食品的标签、说明书不符合食品安全标准为由请求生产者或者经营者支付惩罚性赔偿金，生产者或者经营者以食品的标签、说明书瑕疵不影响食品安全且不会对消费者造成误导为由进行抗辩，存在下列情形之一的，人民法院对生产者或者经营者的抗辩不予支持：</w:t>
      </w:r>
    </w:p>
    <w:p w:rsidR="00D62759" w:rsidRPr="00D62759" w:rsidRDefault="00D62759" w:rsidP="00D62759">
      <w:pPr>
        <w:widowControl/>
        <w:shd w:val="clear" w:color="auto" w:fill="FFFFFF"/>
        <w:spacing w:line="450" w:lineRule="atLeast"/>
        <w:jc w:val="left"/>
        <w:rPr>
          <w:rFonts w:ascii="Arial" w:eastAsia="宋体" w:hAnsi="Arial" w:cs="Arial"/>
          <w:color w:val="222222"/>
          <w:kern w:val="0"/>
          <w:sz w:val="27"/>
          <w:szCs w:val="27"/>
        </w:rPr>
      </w:pPr>
      <w:r w:rsidRPr="00D62759">
        <w:rPr>
          <w:rFonts w:ascii="Arial" w:eastAsia="宋体" w:hAnsi="Arial" w:cs="Arial"/>
          <w:color w:val="222222"/>
          <w:kern w:val="0"/>
          <w:sz w:val="27"/>
          <w:szCs w:val="27"/>
        </w:rPr>
        <w:t>（一）未标明食品安全标准要求必须标明的事项，但属于本解释第八条规定情形的除外；</w:t>
      </w:r>
    </w:p>
    <w:p w:rsidR="00D62759" w:rsidRPr="00D62759" w:rsidRDefault="00D62759" w:rsidP="00D62759">
      <w:pPr>
        <w:widowControl/>
        <w:shd w:val="clear" w:color="auto" w:fill="FFFFFF"/>
        <w:spacing w:line="450" w:lineRule="atLeast"/>
        <w:jc w:val="left"/>
        <w:rPr>
          <w:rFonts w:ascii="Arial" w:eastAsia="宋体" w:hAnsi="Arial" w:cs="Arial"/>
          <w:color w:val="222222"/>
          <w:kern w:val="0"/>
          <w:sz w:val="27"/>
          <w:szCs w:val="27"/>
        </w:rPr>
      </w:pPr>
      <w:r w:rsidRPr="00D62759">
        <w:rPr>
          <w:rFonts w:ascii="Arial" w:eastAsia="宋体" w:hAnsi="Arial" w:cs="Arial"/>
          <w:color w:val="222222"/>
          <w:kern w:val="0"/>
          <w:sz w:val="27"/>
          <w:szCs w:val="27"/>
        </w:rPr>
        <w:t>（二）故意错标食品安全标准要求必须标明的事项；</w:t>
      </w:r>
    </w:p>
    <w:p w:rsidR="00D62759" w:rsidRPr="00D62759" w:rsidRDefault="00D62759" w:rsidP="00D62759">
      <w:pPr>
        <w:widowControl/>
        <w:shd w:val="clear" w:color="auto" w:fill="FFFFFF"/>
        <w:spacing w:line="450" w:lineRule="atLeast"/>
        <w:jc w:val="left"/>
        <w:rPr>
          <w:rFonts w:ascii="Arial" w:eastAsia="宋体" w:hAnsi="Arial" w:cs="Arial"/>
          <w:color w:val="222222"/>
          <w:kern w:val="0"/>
          <w:sz w:val="27"/>
          <w:szCs w:val="27"/>
        </w:rPr>
      </w:pPr>
      <w:r w:rsidRPr="00D62759">
        <w:rPr>
          <w:rFonts w:ascii="Arial" w:eastAsia="宋体" w:hAnsi="Arial" w:cs="Arial"/>
          <w:color w:val="222222"/>
          <w:kern w:val="0"/>
          <w:sz w:val="27"/>
          <w:szCs w:val="27"/>
        </w:rPr>
        <w:t>（三）未正确标明食品安全标准要求必须标明的事项，足以导致消费者对食品安全产生误解。</w:t>
      </w:r>
    </w:p>
    <w:p w:rsidR="00D62759" w:rsidRPr="00D62759" w:rsidRDefault="00D62759" w:rsidP="00D62759">
      <w:pPr>
        <w:widowControl/>
        <w:shd w:val="clear" w:color="auto" w:fill="FFFFFF"/>
        <w:spacing w:line="450" w:lineRule="atLeast"/>
        <w:jc w:val="left"/>
        <w:rPr>
          <w:rFonts w:ascii="Arial" w:eastAsia="宋体" w:hAnsi="Arial" w:cs="Arial"/>
          <w:color w:val="222222"/>
          <w:kern w:val="0"/>
          <w:sz w:val="27"/>
          <w:szCs w:val="27"/>
        </w:rPr>
      </w:pPr>
      <w:r w:rsidRPr="00D62759">
        <w:rPr>
          <w:rFonts w:ascii="Arial" w:eastAsia="宋体" w:hAnsi="Arial" w:cs="Arial"/>
          <w:b/>
          <w:bCs/>
          <w:color w:val="333333"/>
          <w:kern w:val="0"/>
          <w:sz w:val="27"/>
          <w:szCs w:val="27"/>
        </w:rPr>
        <w:t>第七条</w:t>
      </w:r>
      <w:r w:rsidRPr="00D62759">
        <w:rPr>
          <w:rFonts w:ascii="Arial" w:eastAsia="宋体" w:hAnsi="Arial" w:cs="Arial"/>
          <w:b/>
          <w:bCs/>
          <w:color w:val="333333"/>
          <w:kern w:val="0"/>
          <w:sz w:val="27"/>
          <w:szCs w:val="27"/>
        </w:rPr>
        <w:t> </w:t>
      </w:r>
      <w:r w:rsidRPr="00D62759">
        <w:rPr>
          <w:rFonts w:ascii="Arial" w:eastAsia="宋体" w:hAnsi="Arial" w:cs="Arial"/>
          <w:color w:val="222222"/>
          <w:kern w:val="0"/>
          <w:sz w:val="27"/>
          <w:szCs w:val="27"/>
        </w:rPr>
        <w:t>购买者以食品的标签、说明书不符合食品安全标准为由请求生产者或者经营者支付惩罚性赔偿金，生产者或者经营者以食品的标签、说明书虽不符合食品安全标准但不影响食品安全为由进行抗辩的，人民法院对其抗辩不予支持，但食品的标签、说明书瑕疵同时符合下列情形的除外：</w:t>
      </w:r>
    </w:p>
    <w:p w:rsidR="00D62759" w:rsidRPr="00D62759" w:rsidRDefault="00D62759" w:rsidP="00D62759">
      <w:pPr>
        <w:widowControl/>
        <w:shd w:val="clear" w:color="auto" w:fill="FFFFFF"/>
        <w:spacing w:line="450" w:lineRule="atLeast"/>
        <w:jc w:val="left"/>
        <w:rPr>
          <w:rFonts w:ascii="Arial" w:eastAsia="宋体" w:hAnsi="Arial" w:cs="Arial"/>
          <w:color w:val="222222"/>
          <w:kern w:val="0"/>
          <w:sz w:val="27"/>
          <w:szCs w:val="27"/>
        </w:rPr>
      </w:pPr>
      <w:r w:rsidRPr="00D62759">
        <w:rPr>
          <w:rFonts w:ascii="Arial" w:eastAsia="宋体" w:hAnsi="Arial" w:cs="Arial"/>
          <w:color w:val="222222"/>
          <w:kern w:val="0"/>
          <w:sz w:val="27"/>
          <w:szCs w:val="27"/>
        </w:rPr>
        <w:lastRenderedPageBreak/>
        <w:t>（一）根据食品安全法第一百五十条关于食品安全的规定，足以认定标签、说明书瑕疵不影响食品安全；</w:t>
      </w:r>
    </w:p>
    <w:p w:rsidR="00D62759" w:rsidRPr="00D62759" w:rsidRDefault="00D62759" w:rsidP="00D62759">
      <w:pPr>
        <w:widowControl/>
        <w:shd w:val="clear" w:color="auto" w:fill="FFFFFF"/>
        <w:spacing w:line="450" w:lineRule="atLeast"/>
        <w:jc w:val="left"/>
        <w:rPr>
          <w:rFonts w:ascii="Arial" w:eastAsia="宋体" w:hAnsi="Arial" w:cs="Arial"/>
          <w:color w:val="222222"/>
          <w:kern w:val="0"/>
          <w:sz w:val="27"/>
          <w:szCs w:val="27"/>
        </w:rPr>
      </w:pPr>
      <w:r w:rsidRPr="00D62759">
        <w:rPr>
          <w:rFonts w:ascii="Arial" w:eastAsia="宋体" w:hAnsi="Arial" w:cs="Arial"/>
          <w:color w:val="222222"/>
          <w:kern w:val="0"/>
          <w:sz w:val="27"/>
          <w:szCs w:val="27"/>
        </w:rPr>
        <w:t>（二）根据购买者在购买食品时是否明知瑕疵存在、瑕疵是否会导致普通消费者对食品安全产生误解等事实，足以认定标签、说明书瑕疵不会对消费者造成误导。</w:t>
      </w:r>
    </w:p>
    <w:p w:rsidR="00D62759" w:rsidRPr="00D62759" w:rsidRDefault="00D62759" w:rsidP="00D62759">
      <w:pPr>
        <w:widowControl/>
        <w:shd w:val="clear" w:color="auto" w:fill="FFFFFF"/>
        <w:spacing w:line="450" w:lineRule="atLeast"/>
        <w:jc w:val="left"/>
        <w:rPr>
          <w:rFonts w:ascii="Arial" w:eastAsia="宋体" w:hAnsi="Arial" w:cs="Arial"/>
          <w:color w:val="222222"/>
          <w:kern w:val="0"/>
          <w:sz w:val="27"/>
          <w:szCs w:val="27"/>
        </w:rPr>
      </w:pPr>
      <w:r w:rsidRPr="00D62759">
        <w:rPr>
          <w:rFonts w:ascii="Arial" w:eastAsia="宋体" w:hAnsi="Arial" w:cs="Arial"/>
          <w:b/>
          <w:bCs/>
          <w:color w:val="333333"/>
          <w:kern w:val="0"/>
          <w:sz w:val="27"/>
          <w:szCs w:val="27"/>
        </w:rPr>
        <w:t>第八条</w:t>
      </w:r>
      <w:r w:rsidRPr="00D62759">
        <w:rPr>
          <w:rFonts w:ascii="Arial" w:eastAsia="宋体" w:hAnsi="Arial" w:cs="Arial"/>
          <w:color w:val="222222"/>
          <w:kern w:val="0"/>
          <w:sz w:val="27"/>
          <w:szCs w:val="27"/>
        </w:rPr>
        <w:t>购买者以食品的标签、说明书不符合食品安全标准为由请求生产者或者经营者支付惩罚性赔偿金，食品的标签、说明书虽存在瑕疵但属于下列情形之一的，人民法院不予支持：</w:t>
      </w:r>
    </w:p>
    <w:p w:rsidR="00D62759" w:rsidRPr="00D62759" w:rsidRDefault="00D62759" w:rsidP="00D62759">
      <w:pPr>
        <w:widowControl/>
        <w:shd w:val="clear" w:color="auto" w:fill="FFFFFF"/>
        <w:spacing w:line="450" w:lineRule="atLeast"/>
        <w:jc w:val="left"/>
        <w:rPr>
          <w:rFonts w:ascii="Arial" w:eastAsia="宋体" w:hAnsi="Arial" w:cs="Arial"/>
          <w:color w:val="222222"/>
          <w:kern w:val="0"/>
          <w:sz w:val="27"/>
          <w:szCs w:val="27"/>
        </w:rPr>
      </w:pPr>
      <w:r w:rsidRPr="00D62759">
        <w:rPr>
          <w:rFonts w:ascii="Arial" w:eastAsia="宋体" w:hAnsi="Arial" w:cs="Arial"/>
          <w:color w:val="222222"/>
          <w:kern w:val="0"/>
          <w:sz w:val="27"/>
          <w:szCs w:val="27"/>
        </w:rPr>
        <w:t>（一）文字、符号、数字的字号、字体、字高不规范，或者外文字号、字高大于中文；</w:t>
      </w:r>
    </w:p>
    <w:p w:rsidR="00D62759" w:rsidRPr="00D62759" w:rsidRDefault="00D62759" w:rsidP="00D62759">
      <w:pPr>
        <w:widowControl/>
        <w:shd w:val="clear" w:color="auto" w:fill="FFFFFF"/>
        <w:spacing w:line="450" w:lineRule="atLeast"/>
        <w:jc w:val="left"/>
        <w:rPr>
          <w:rFonts w:ascii="Arial" w:eastAsia="宋体" w:hAnsi="Arial" w:cs="Arial"/>
          <w:color w:val="222222"/>
          <w:kern w:val="0"/>
          <w:sz w:val="27"/>
          <w:szCs w:val="27"/>
        </w:rPr>
      </w:pPr>
      <w:r w:rsidRPr="00D62759">
        <w:rPr>
          <w:rFonts w:ascii="Arial" w:eastAsia="宋体" w:hAnsi="Arial" w:cs="Arial"/>
          <w:color w:val="222222"/>
          <w:kern w:val="0"/>
          <w:sz w:val="27"/>
          <w:szCs w:val="27"/>
        </w:rPr>
        <w:t>（二）出现错别字、多字、漏字、繁体字或者外文翻译不准确，但不会导致消费者对食品安全产生误解；</w:t>
      </w:r>
    </w:p>
    <w:p w:rsidR="00D62759" w:rsidRPr="00D62759" w:rsidRDefault="00D62759" w:rsidP="00D62759">
      <w:pPr>
        <w:widowControl/>
        <w:shd w:val="clear" w:color="auto" w:fill="FFFFFF"/>
        <w:spacing w:line="450" w:lineRule="atLeast"/>
        <w:jc w:val="left"/>
        <w:rPr>
          <w:rFonts w:ascii="Arial" w:eastAsia="宋体" w:hAnsi="Arial" w:cs="Arial"/>
          <w:color w:val="222222"/>
          <w:kern w:val="0"/>
          <w:sz w:val="27"/>
          <w:szCs w:val="27"/>
        </w:rPr>
      </w:pPr>
      <w:r w:rsidRPr="00D62759">
        <w:rPr>
          <w:rFonts w:ascii="Arial" w:eastAsia="宋体" w:hAnsi="Arial" w:cs="Arial"/>
          <w:color w:val="222222"/>
          <w:kern w:val="0"/>
          <w:sz w:val="27"/>
          <w:szCs w:val="27"/>
        </w:rPr>
        <w:t>（三）净含量、规格的标示方式和格式不规范，食品、食品添加剂以及配料使用的俗称或者简称等不规范，营养成分表、配料表顺序、数值、单位标示不规范，或者营养成分表数值修约间隔、</w:t>
      </w:r>
      <w:r w:rsidRPr="00D62759">
        <w:rPr>
          <w:rFonts w:ascii="Arial" w:eastAsia="宋体" w:hAnsi="Arial" w:cs="Arial"/>
          <w:color w:val="222222"/>
          <w:kern w:val="0"/>
          <w:sz w:val="27"/>
          <w:szCs w:val="27"/>
        </w:rPr>
        <w:t>“0”</w:t>
      </w:r>
      <w:r w:rsidRPr="00D62759">
        <w:rPr>
          <w:rFonts w:ascii="Arial" w:eastAsia="宋体" w:hAnsi="Arial" w:cs="Arial"/>
          <w:color w:val="222222"/>
          <w:kern w:val="0"/>
          <w:sz w:val="27"/>
          <w:szCs w:val="27"/>
        </w:rPr>
        <w:t>界限值、标示单位不规范，但不会导致消费者对食品安全产生误解；</w:t>
      </w:r>
    </w:p>
    <w:p w:rsidR="00D62759" w:rsidRPr="00D62759" w:rsidRDefault="00D62759" w:rsidP="00D62759">
      <w:pPr>
        <w:widowControl/>
        <w:shd w:val="clear" w:color="auto" w:fill="FFFFFF"/>
        <w:spacing w:line="450" w:lineRule="atLeast"/>
        <w:jc w:val="left"/>
        <w:rPr>
          <w:rFonts w:ascii="Arial" w:eastAsia="宋体" w:hAnsi="Arial" w:cs="Arial"/>
          <w:color w:val="222222"/>
          <w:kern w:val="0"/>
          <w:sz w:val="27"/>
          <w:szCs w:val="27"/>
        </w:rPr>
      </w:pPr>
      <w:r w:rsidRPr="00D62759">
        <w:rPr>
          <w:rFonts w:ascii="Arial" w:eastAsia="宋体" w:hAnsi="Arial" w:cs="Arial"/>
          <w:color w:val="222222"/>
          <w:kern w:val="0"/>
          <w:sz w:val="27"/>
          <w:szCs w:val="27"/>
        </w:rPr>
        <w:t>（四）对没有特殊贮存条件要求的食品，未按照规定标示</w:t>
      </w:r>
      <w:bookmarkStart w:id="0" w:name="_GoBack"/>
      <w:bookmarkEnd w:id="0"/>
      <w:r w:rsidRPr="00D62759">
        <w:rPr>
          <w:rFonts w:ascii="Arial" w:eastAsia="宋体" w:hAnsi="Arial" w:cs="Arial"/>
          <w:color w:val="222222"/>
          <w:kern w:val="0"/>
          <w:sz w:val="27"/>
          <w:szCs w:val="27"/>
        </w:rPr>
        <w:t>贮存条件；</w:t>
      </w:r>
    </w:p>
    <w:p w:rsidR="00D62759" w:rsidRPr="00D62759" w:rsidRDefault="00D62759" w:rsidP="00D62759">
      <w:pPr>
        <w:widowControl/>
        <w:shd w:val="clear" w:color="auto" w:fill="FFFFFF"/>
        <w:spacing w:line="450" w:lineRule="atLeast"/>
        <w:jc w:val="left"/>
        <w:rPr>
          <w:rFonts w:ascii="Arial" w:eastAsia="宋体" w:hAnsi="Arial" w:cs="Arial"/>
          <w:color w:val="222222"/>
          <w:kern w:val="0"/>
          <w:sz w:val="27"/>
          <w:szCs w:val="27"/>
        </w:rPr>
      </w:pPr>
      <w:r w:rsidRPr="00D62759">
        <w:rPr>
          <w:rFonts w:ascii="Arial" w:eastAsia="宋体" w:hAnsi="Arial" w:cs="Arial"/>
          <w:color w:val="222222"/>
          <w:kern w:val="0"/>
          <w:sz w:val="27"/>
          <w:szCs w:val="27"/>
        </w:rPr>
        <w:t>（五）食品的标签、说明书存在其他瑕疵，但不影响食品安全且不会对消费者造成误导。</w:t>
      </w:r>
    </w:p>
    <w:p w:rsidR="00D62759" w:rsidRPr="00D62759" w:rsidRDefault="00D62759" w:rsidP="00D62759">
      <w:pPr>
        <w:widowControl/>
        <w:shd w:val="clear" w:color="auto" w:fill="FFFFFF"/>
        <w:spacing w:line="450" w:lineRule="atLeast"/>
        <w:jc w:val="left"/>
        <w:rPr>
          <w:rFonts w:ascii="Arial" w:eastAsia="宋体" w:hAnsi="Arial" w:cs="Arial"/>
          <w:color w:val="222222"/>
          <w:kern w:val="0"/>
          <w:sz w:val="27"/>
          <w:szCs w:val="27"/>
        </w:rPr>
      </w:pPr>
      <w:r w:rsidRPr="00D62759">
        <w:rPr>
          <w:rFonts w:ascii="Arial" w:eastAsia="宋体" w:hAnsi="Arial" w:cs="Arial"/>
          <w:b/>
          <w:bCs/>
          <w:color w:val="333333"/>
          <w:kern w:val="0"/>
          <w:sz w:val="27"/>
          <w:szCs w:val="27"/>
        </w:rPr>
        <w:t>第九条</w:t>
      </w:r>
      <w:r w:rsidRPr="00D62759">
        <w:rPr>
          <w:rFonts w:ascii="Arial" w:eastAsia="宋体" w:hAnsi="Arial" w:cs="Arial"/>
          <w:b/>
          <w:bCs/>
          <w:color w:val="333333"/>
          <w:kern w:val="0"/>
          <w:sz w:val="27"/>
          <w:szCs w:val="27"/>
        </w:rPr>
        <w:t> </w:t>
      </w:r>
      <w:r w:rsidRPr="00D62759">
        <w:rPr>
          <w:rFonts w:ascii="Arial" w:eastAsia="宋体" w:hAnsi="Arial" w:cs="Arial"/>
          <w:color w:val="222222"/>
          <w:kern w:val="0"/>
          <w:sz w:val="27"/>
          <w:szCs w:val="27"/>
        </w:rPr>
        <w:t>经营明知是不符合食品安全标准的食品或者明知是假药、劣药仍然销售、使用的行为构成欺诈，购买者选择依照食品安全法第一百四十八条第二款、药品管理法第一百四十四条第三款或者消费者权益</w:t>
      </w:r>
      <w:r w:rsidRPr="00D62759">
        <w:rPr>
          <w:rFonts w:ascii="Arial" w:eastAsia="宋体" w:hAnsi="Arial" w:cs="Arial"/>
          <w:color w:val="222222"/>
          <w:kern w:val="0"/>
          <w:sz w:val="27"/>
          <w:szCs w:val="27"/>
        </w:rPr>
        <w:lastRenderedPageBreak/>
        <w:t>保护法第五十五条第一款规定起诉请求经营者承担惩罚性赔偿责任的，人民法院应予支持。</w:t>
      </w:r>
    </w:p>
    <w:p w:rsidR="00D62759" w:rsidRPr="00D62759" w:rsidRDefault="00D62759" w:rsidP="00D62759">
      <w:pPr>
        <w:widowControl/>
        <w:shd w:val="clear" w:color="auto" w:fill="FFFFFF"/>
        <w:spacing w:line="450" w:lineRule="atLeast"/>
        <w:jc w:val="left"/>
        <w:rPr>
          <w:rFonts w:ascii="Arial" w:eastAsia="宋体" w:hAnsi="Arial" w:cs="Arial"/>
          <w:color w:val="222222"/>
          <w:kern w:val="0"/>
          <w:sz w:val="27"/>
          <w:szCs w:val="27"/>
        </w:rPr>
      </w:pPr>
      <w:r w:rsidRPr="00D62759">
        <w:rPr>
          <w:rFonts w:ascii="Arial" w:eastAsia="宋体" w:hAnsi="Arial" w:cs="Arial"/>
          <w:color w:val="222222"/>
          <w:kern w:val="0"/>
          <w:sz w:val="27"/>
          <w:szCs w:val="27"/>
        </w:rPr>
        <w:t>购买者依照食品安全法第一百四十八条第二款或者药品管理法第一百四十四条第三款规定起诉请求经营者承担惩罚性赔偿责任，人民法院经审理认为购买者请求不成立但经营者行为构成欺诈，购买者变更为依照消费者权益保护法第五十五条第一款规定请求经营者承担惩罚性赔偿责任的，人民法院应当准许。</w:t>
      </w:r>
    </w:p>
    <w:p w:rsidR="00D62759" w:rsidRPr="00D62759" w:rsidRDefault="00D62759" w:rsidP="00D62759">
      <w:pPr>
        <w:widowControl/>
        <w:shd w:val="clear" w:color="auto" w:fill="FFFFFF"/>
        <w:spacing w:line="450" w:lineRule="atLeast"/>
        <w:jc w:val="left"/>
        <w:rPr>
          <w:rFonts w:ascii="Arial" w:eastAsia="宋体" w:hAnsi="Arial" w:cs="Arial"/>
          <w:color w:val="222222"/>
          <w:kern w:val="0"/>
          <w:sz w:val="27"/>
          <w:szCs w:val="27"/>
        </w:rPr>
      </w:pPr>
      <w:r w:rsidRPr="00D62759">
        <w:rPr>
          <w:rFonts w:ascii="Arial" w:eastAsia="宋体" w:hAnsi="Arial" w:cs="Arial"/>
          <w:b/>
          <w:bCs/>
          <w:color w:val="333333"/>
          <w:kern w:val="0"/>
          <w:sz w:val="27"/>
          <w:szCs w:val="27"/>
        </w:rPr>
        <w:t>第十条</w:t>
      </w:r>
      <w:r w:rsidRPr="00D62759">
        <w:rPr>
          <w:rFonts w:ascii="Arial" w:eastAsia="宋体" w:hAnsi="Arial" w:cs="Arial"/>
          <w:color w:val="222222"/>
          <w:kern w:val="0"/>
          <w:sz w:val="27"/>
          <w:szCs w:val="27"/>
        </w:rPr>
        <w:t>购买者因个人或者家庭生活消费需要购买的药品是假药、劣药，依照药品管理法第一百四十四条第三款规定请求生产者或者经营者支付惩罚性赔偿金的，人民法院依法予以支持。</w:t>
      </w:r>
    </w:p>
    <w:p w:rsidR="00D62759" w:rsidRPr="00D62759" w:rsidRDefault="00D62759" w:rsidP="00D62759">
      <w:pPr>
        <w:widowControl/>
        <w:shd w:val="clear" w:color="auto" w:fill="FFFFFF"/>
        <w:spacing w:line="450" w:lineRule="atLeast"/>
        <w:jc w:val="left"/>
        <w:rPr>
          <w:rFonts w:ascii="Arial" w:eastAsia="宋体" w:hAnsi="Arial" w:cs="Arial"/>
          <w:color w:val="222222"/>
          <w:kern w:val="0"/>
          <w:sz w:val="27"/>
          <w:szCs w:val="27"/>
        </w:rPr>
      </w:pPr>
      <w:r w:rsidRPr="00D62759">
        <w:rPr>
          <w:rFonts w:ascii="Arial" w:eastAsia="宋体" w:hAnsi="Arial" w:cs="Arial"/>
          <w:b/>
          <w:bCs/>
          <w:color w:val="333333"/>
          <w:kern w:val="0"/>
          <w:sz w:val="27"/>
          <w:szCs w:val="27"/>
        </w:rPr>
        <w:t>第十一条</w:t>
      </w:r>
      <w:r w:rsidRPr="00D62759">
        <w:rPr>
          <w:rFonts w:ascii="Arial" w:eastAsia="宋体" w:hAnsi="Arial" w:cs="Arial"/>
          <w:b/>
          <w:bCs/>
          <w:color w:val="333333"/>
          <w:kern w:val="0"/>
          <w:sz w:val="27"/>
          <w:szCs w:val="27"/>
        </w:rPr>
        <w:t> </w:t>
      </w:r>
      <w:r w:rsidRPr="00D62759">
        <w:rPr>
          <w:rFonts w:ascii="Arial" w:eastAsia="宋体" w:hAnsi="Arial" w:cs="Arial"/>
          <w:color w:val="222222"/>
          <w:kern w:val="0"/>
          <w:sz w:val="27"/>
          <w:szCs w:val="27"/>
        </w:rPr>
        <w:t>购买者依照药品管理法第一百四十四条第三款规定请求生产者或者经营者支付惩罚性赔偿金，生产者或者经营者抗辩不应适用药品管理法第一百四十四条第三款规定，存在下列情形之一的，人民法院对其抗辩应予支持：</w:t>
      </w:r>
    </w:p>
    <w:p w:rsidR="00D62759" w:rsidRPr="00D62759" w:rsidRDefault="00D62759" w:rsidP="00D62759">
      <w:pPr>
        <w:widowControl/>
        <w:shd w:val="clear" w:color="auto" w:fill="FFFFFF"/>
        <w:spacing w:line="450" w:lineRule="atLeast"/>
        <w:jc w:val="left"/>
        <w:rPr>
          <w:rFonts w:ascii="Arial" w:eastAsia="宋体" w:hAnsi="Arial" w:cs="Arial"/>
          <w:color w:val="222222"/>
          <w:kern w:val="0"/>
          <w:sz w:val="27"/>
          <w:szCs w:val="27"/>
        </w:rPr>
      </w:pPr>
      <w:r w:rsidRPr="00D62759">
        <w:rPr>
          <w:rFonts w:ascii="Arial" w:eastAsia="宋体" w:hAnsi="Arial" w:cs="Arial"/>
          <w:color w:val="222222"/>
          <w:kern w:val="0"/>
          <w:sz w:val="27"/>
          <w:szCs w:val="27"/>
        </w:rPr>
        <w:t>（一）不以营利为目的实施带有自救、互助性质的生产、销售少量药品行为，且未造成他人伤害后果；</w:t>
      </w:r>
    </w:p>
    <w:p w:rsidR="00D62759" w:rsidRPr="00D62759" w:rsidRDefault="00D62759" w:rsidP="00D62759">
      <w:pPr>
        <w:widowControl/>
        <w:shd w:val="clear" w:color="auto" w:fill="FFFFFF"/>
        <w:spacing w:line="450" w:lineRule="atLeast"/>
        <w:jc w:val="left"/>
        <w:rPr>
          <w:rFonts w:ascii="Arial" w:eastAsia="宋体" w:hAnsi="Arial" w:cs="Arial"/>
          <w:color w:val="222222"/>
          <w:kern w:val="0"/>
          <w:sz w:val="27"/>
          <w:szCs w:val="27"/>
        </w:rPr>
      </w:pPr>
      <w:r w:rsidRPr="00D62759">
        <w:rPr>
          <w:rFonts w:ascii="Arial" w:eastAsia="宋体" w:hAnsi="Arial" w:cs="Arial"/>
          <w:color w:val="222222"/>
          <w:kern w:val="0"/>
          <w:sz w:val="27"/>
          <w:szCs w:val="27"/>
        </w:rPr>
        <w:t>（二）根据民间传统配方制售药品，数量不大，且未造成他人伤害后果；</w:t>
      </w:r>
    </w:p>
    <w:p w:rsidR="00D62759" w:rsidRPr="00D62759" w:rsidRDefault="00D62759" w:rsidP="00D62759">
      <w:pPr>
        <w:widowControl/>
        <w:shd w:val="clear" w:color="auto" w:fill="FFFFFF"/>
        <w:spacing w:line="450" w:lineRule="atLeast"/>
        <w:jc w:val="left"/>
        <w:rPr>
          <w:rFonts w:ascii="Arial" w:eastAsia="宋体" w:hAnsi="Arial" w:cs="Arial"/>
          <w:color w:val="222222"/>
          <w:kern w:val="0"/>
          <w:sz w:val="27"/>
          <w:szCs w:val="27"/>
        </w:rPr>
      </w:pPr>
      <w:r w:rsidRPr="00D62759">
        <w:rPr>
          <w:rFonts w:ascii="Arial" w:eastAsia="宋体" w:hAnsi="Arial" w:cs="Arial"/>
          <w:color w:val="222222"/>
          <w:kern w:val="0"/>
          <w:sz w:val="27"/>
          <w:szCs w:val="27"/>
        </w:rPr>
        <w:t>（三）不以营利为目的实施带有自救、互助性质的进口少量境外合法上市药品行为。</w:t>
      </w:r>
    </w:p>
    <w:p w:rsidR="00D62759" w:rsidRPr="00D62759" w:rsidRDefault="00D62759" w:rsidP="00D62759">
      <w:pPr>
        <w:widowControl/>
        <w:shd w:val="clear" w:color="auto" w:fill="FFFFFF"/>
        <w:spacing w:line="450" w:lineRule="atLeast"/>
        <w:jc w:val="left"/>
        <w:rPr>
          <w:rFonts w:ascii="Arial" w:eastAsia="宋体" w:hAnsi="Arial" w:cs="Arial"/>
          <w:color w:val="222222"/>
          <w:kern w:val="0"/>
          <w:sz w:val="27"/>
          <w:szCs w:val="27"/>
        </w:rPr>
      </w:pPr>
      <w:r w:rsidRPr="00D62759">
        <w:rPr>
          <w:rFonts w:ascii="Arial" w:eastAsia="宋体" w:hAnsi="Arial" w:cs="Arial"/>
          <w:color w:val="222222"/>
          <w:kern w:val="0"/>
          <w:sz w:val="27"/>
          <w:szCs w:val="27"/>
        </w:rPr>
        <w:t>对于是否属于民间传统配方难以确定的，可以根据地市级以上药品监督管理部门或者有关部门出具的意见，结合其他证据作出认定。</w:t>
      </w:r>
    </w:p>
    <w:p w:rsidR="00D62759" w:rsidRPr="00D62759" w:rsidRDefault="00D62759" w:rsidP="00D62759">
      <w:pPr>
        <w:widowControl/>
        <w:shd w:val="clear" w:color="auto" w:fill="FFFFFF"/>
        <w:spacing w:line="450" w:lineRule="atLeast"/>
        <w:jc w:val="left"/>
        <w:rPr>
          <w:rFonts w:ascii="Arial" w:eastAsia="宋体" w:hAnsi="Arial" w:cs="Arial"/>
          <w:color w:val="222222"/>
          <w:kern w:val="0"/>
          <w:sz w:val="27"/>
          <w:szCs w:val="27"/>
        </w:rPr>
      </w:pPr>
      <w:r w:rsidRPr="00D62759">
        <w:rPr>
          <w:rFonts w:ascii="Arial" w:eastAsia="宋体" w:hAnsi="Arial" w:cs="Arial"/>
          <w:color w:val="222222"/>
          <w:kern w:val="0"/>
          <w:sz w:val="27"/>
          <w:szCs w:val="27"/>
        </w:rPr>
        <w:lastRenderedPageBreak/>
        <w:t>行政机关作出的处罚决定或者行政机关、药品检验机构提供的检验结论、认定意见等证据足以证明生产、销售或者使用的药品属于假药、劣药的，不适用本条第一款规定。</w:t>
      </w:r>
    </w:p>
    <w:p w:rsidR="00D62759" w:rsidRPr="00D62759" w:rsidRDefault="00D62759" w:rsidP="00D62759">
      <w:pPr>
        <w:widowControl/>
        <w:shd w:val="clear" w:color="auto" w:fill="FFFFFF"/>
        <w:spacing w:line="450" w:lineRule="atLeast"/>
        <w:jc w:val="left"/>
        <w:rPr>
          <w:rFonts w:ascii="Arial" w:eastAsia="宋体" w:hAnsi="Arial" w:cs="Arial"/>
          <w:color w:val="222222"/>
          <w:kern w:val="0"/>
          <w:sz w:val="27"/>
          <w:szCs w:val="27"/>
        </w:rPr>
      </w:pPr>
      <w:r w:rsidRPr="00D62759">
        <w:rPr>
          <w:rFonts w:ascii="Arial" w:eastAsia="宋体" w:hAnsi="Arial" w:cs="Arial"/>
          <w:b/>
          <w:bCs/>
          <w:color w:val="333333"/>
          <w:kern w:val="0"/>
          <w:sz w:val="27"/>
          <w:szCs w:val="27"/>
        </w:rPr>
        <w:t>第十二条</w:t>
      </w:r>
      <w:r w:rsidRPr="00D62759">
        <w:rPr>
          <w:rFonts w:ascii="Arial" w:eastAsia="宋体" w:hAnsi="Arial" w:cs="Arial"/>
          <w:color w:val="222222"/>
          <w:kern w:val="0"/>
          <w:sz w:val="27"/>
          <w:szCs w:val="27"/>
        </w:rPr>
        <w:t>购买者明知所购买食品不符合食品安全标准，依照食品安全法第一百四十八条第二款规定请求生产者或者经营者支付价款十倍的惩罚性赔偿金的，人民法院应当在合理生活消费需要范围内依法支持购买者诉讼请求。</w:t>
      </w:r>
    </w:p>
    <w:p w:rsidR="00D62759" w:rsidRPr="00D62759" w:rsidRDefault="00D62759" w:rsidP="00D62759">
      <w:pPr>
        <w:widowControl/>
        <w:shd w:val="clear" w:color="auto" w:fill="FFFFFF"/>
        <w:spacing w:line="450" w:lineRule="atLeast"/>
        <w:jc w:val="left"/>
        <w:rPr>
          <w:rFonts w:ascii="Arial" w:eastAsia="宋体" w:hAnsi="Arial" w:cs="Arial"/>
          <w:color w:val="222222"/>
          <w:kern w:val="0"/>
          <w:sz w:val="27"/>
          <w:szCs w:val="27"/>
        </w:rPr>
      </w:pPr>
      <w:r w:rsidRPr="00D62759">
        <w:rPr>
          <w:rFonts w:ascii="Arial" w:eastAsia="宋体" w:hAnsi="Arial" w:cs="Arial"/>
          <w:color w:val="222222"/>
          <w:kern w:val="0"/>
          <w:sz w:val="27"/>
          <w:szCs w:val="27"/>
        </w:rPr>
        <w:t>人民法院可以综合保质期、普通消费者通常消费习惯等因素认定购买者合理生活消费需要的食品数量。</w:t>
      </w:r>
    </w:p>
    <w:p w:rsidR="00D62759" w:rsidRPr="00D62759" w:rsidRDefault="00D62759" w:rsidP="00D62759">
      <w:pPr>
        <w:widowControl/>
        <w:shd w:val="clear" w:color="auto" w:fill="FFFFFF"/>
        <w:spacing w:line="450" w:lineRule="atLeast"/>
        <w:jc w:val="left"/>
        <w:rPr>
          <w:rFonts w:ascii="Arial" w:eastAsia="宋体" w:hAnsi="Arial" w:cs="Arial"/>
          <w:color w:val="222222"/>
          <w:kern w:val="0"/>
          <w:sz w:val="27"/>
          <w:szCs w:val="27"/>
        </w:rPr>
      </w:pPr>
      <w:r w:rsidRPr="00D62759">
        <w:rPr>
          <w:rFonts w:ascii="Arial" w:eastAsia="宋体" w:hAnsi="Arial" w:cs="Arial"/>
          <w:color w:val="222222"/>
          <w:kern w:val="0"/>
          <w:sz w:val="27"/>
          <w:szCs w:val="27"/>
        </w:rPr>
        <w:t>生产者或者经营者主张购买者明知所购买食品不符合食品安全标准仍然购买索赔的，应当提供证据证明其主张。</w:t>
      </w:r>
    </w:p>
    <w:p w:rsidR="00D62759" w:rsidRPr="00D62759" w:rsidRDefault="00D62759" w:rsidP="00D62759">
      <w:pPr>
        <w:widowControl/>
        <w:shd w:val="clear" w:color="auto" w:fill="FFFFFF"/>
        <w:spacing w:line="450" w:lineRule="atLeast"/>
        <w:jc w:val="left"/>
        <w:rPr>
          <w:rFonts w:ascii="Arial" w:eastAsia="宋体" w:hAnsi="Arial" w:cs="Arial"/>
          <w:color w:val="222222"/>
          <w:kern w:val="0"/>
          <w:sz w:val="27"/>
          <w:szCs w:val="27"/>
        </w:rPr>
      </w:pPr>
      <w:r w:rsidRPr="00D62759">
        <w:rPr>
          <w:rFonts w:ascii="Arial" w:eastAsia="宋体" w:hAnsi="Arial" w:cs="Arial"/>
          <w:b/>
          <w:bCs/>
          <w:color w:val="333333"/>
          <w:kern w:val="0"/>
          <w:sz w:val="27"/>
          <w:szCs w:val="27"/>
        </w:rPr>
        <w:t>第十三条</w:t>
      </w:r>
      <w:r w:rsidRPr="00D62759">
        <w:rPr>
          <w:rFonts w:ascii="Arial" w:eastAsia="宋体" w:hAnsi="Arial" w:cs="Arial"/>
          <w:b/>
          <w:bCs/>
          <w:color w:val="333333"/>
          <w:kern w:val="0"/>
          <w:sz w:val="27"/>
          <w:szCs w:val="27"/>
        </w:rPr>
        <w:t> </w:t>
      </w:r>
      <w:r w:rsidRPr="00D62759">
        <w:rPr>
          <w:rFonts w:ascii="Arial" w:eastAsia="宋体" w:hAnsi="Arial" w:cs="Arial"/>
          <w:color w:val="222222"/>
          <w:kern w:val="0"/>
          <w:sz w:val="27"/>
          <w:szCs w:val="27"/>
        </w:rPr>
        <w:t>购买者明知食品不符合食品安全标准，在短时间内多次购买，并依照食品安全法第一百四十八条第二款规定起诉请求同一生产者或者经营者按每次购买金额分别计算惩罚性赔偿金的，人民法院应当根据购买者多次购买相同食品的总数，在合理生活消费需要范围内依法支持其诉讼请求。</w:t>
      </w:r>
    </w:p>
    <w:p w:rsidR="00D62759" w:rsidRPr="00D62759" w:rsidRDefault="00D62759" w:rsidP="00D62759">
      <w:pPr>
        <w:widowControl/>
        <w:shd w:val="clear" w:color="auto" w:fill="FFFFFF"/>
        <w:spacing w:line="450" w:lineRule="atLeast"/>
        <w:jc w:val="left"/>
        <w:rPr>
          <w:rFonts w:ascii="Arial" w:eastAsia="宋体" w:hAnsi="Arial" w:cs="Arial"/>
          <w:color w:val="222222"/>
          <w:kern w:val="0"/>
          <w:sz w:val="27"/>
          <w:szCs w:val="27"/>
        </w:rPr>
      </w:pPr>
      <w:r w:rsidRPr="00D62759">
        <w:rPr>
          <w:rFonts w:ascii="Arial" w:eastAsia="宋体" w:hAnsi="Arial" w:cs="Arial"/>
          <w:b/>
          <w:bCs/>
          <w:color w:val="333333"/>
          <w:kern w:val="0"/>
          <w:sz w:val="27"/>
          <w:szCs w:val="27"/>
        </w:rPr>
        <w:t>第十四条</w:t>
      </w:r>
      <w:r w:rsidRPr="00D62759">
        <w:rPr>
          <w:rFonts w:ascii="Arial" w:eastAsia="宋体" w:hAnsi="Arial" w:cs="Arial"/>
          <w:b/>
          <w:bCs/>
          <w:color w:val="333333"/>
          <w:kern w:val="0"/>
          <w:sz w:val="27"/>
          <w:szCs w:val="27"/>
        </w:rPr>
        <w:t> </w:t>
      </w:r>
      <w:r w:rsidRPr="00D62759">
        <w:rPr>
          <w:rFonts w:ascii="Arial" w:eastAsia="宋体" w:hAnsi="Arial" w:cs="Arial"/>
          <w:color w:val="222222"/>
          <w:kern w:val="0"/>
          <w:sz w:val="27"/>
          <w:szCs w:val="27"/>
        </w:rPr>
        <w:t>购买者明知所购买食品不符合食品安全标准，在短时间内多次购买，并多次依照食品安全法第一百四十八条第二款规定就同一不符合食品安全标准的食品起诉请求同一生产者或者经营者支付惩罚性赔偿金的，人民法院应当在合理生活消费需要范围内依法支持其诉讼请求。</w:t>
      </w:r>
    </w:p>
    <w:p w:rsidR="00D62759" w:rsidRPr="00D62759" w:rsidRDefault="00D62759" w:rsidP="00D62759">
      <w:pPr>
        <w:widowControl/>
        <w:shd w:val="clear" w:color="auto" w:fill="FFFFFF"/>
        <w:spacing w:line="450" w:lineRule="atLeast"/>
        <w:jc w:val="left"/>
        <w:rPr>
          <w:rFonts w:ascii="Arial" w:eastAsia="宋体" w:hAnsi="Arial" w:cs="Arial"/>
          <w:color w:val="222222"/>
          <w:kern w:val="0"/>
          <w:sz w:val="27"/>
          <w:szCs w:val="27"/>
        </w:rPr>
      </w:pPr>
      <w:r w:rsidRPr="00D62759">
        <w:rPr>
          <w:rFonts w:ascii="Arial" w:eastAsia="宋体" w:hAnsi="Arial" w:cs="Arial"/>
          <w:color w:val="222222"/>
          <w:kern w:val="0"/>
          <w:sz w:val="27"/>
          <w:szCs w:val="27"/>
        </w:rPr>
        <w:lastRenderedPageBreak/>
        <w:t>人民法院可以综合保质期、普通消费者通常消费习惯、购买者的购买频次等因素认定购买者每次起诉的食品数量是否超出合理生活消费需要。</w:t>
      </w:r>
    </w:p>
    <w:p w:rsidR="00D62759" w:rsidRPr="00D62759" w:rsidRDefault="00D62759" w:rsidP="00D62759">
      <w:pPr>
        <w:widowControl/>
        <w:shd w:val="clear" w:color="auto" w:fill="FFFFFF"/>
        <w:spacing w:line="450" w:lineRule="atLeast"/>
        <w:jc w:val="left"/>
        <w:rPr>
          <w:rFonts w:ascii="Arial" w:eastAsia="宋体" w:hAnsi="Arial" w:cs="Arial"/>
          <w:color w:val="222222"/>
          <w:kern w:val="0"/>
          <w:sz w:val="27"/>
          <w:szCs w:val="27"/>
        </w:rPr>
      </w:pPr>
      <w:r w:rsidRPr="00D62759">
        <w:rPr>
          <w:rFonts w:ascii="Arial" w:eastAsia="宋体" w:hAnsi="Arial" w:cs="Arial"/>
          <w:b/>
          <w:bCs/>
          <w:color w:val="333333"/>
          <w:kern w:val="0"/>
          <w:sz w:val="27"/>
          <w:szCs w:val="27"/>
        </w:rPr>
        <w:t>第十五条</w:t>
      </w:r>
      <w:r w:rsidRPr="00D62759">
        <w:rPr>
          <w:rFonts w:ascii="Arial" w:eastAsia="宋体" w:hAnsi="Arial" w:cs="Arial"/>
          <w:b/>
          <w:bCs/>
          <w:color w:val="333333"/>
          <w:kern w:val="0"/>
          <w:sz w:val="27"/>
          <w:szCs w:val="27"/>
        </w:rPr>
        <w:t> </w:t>
      </w:r>
      <w:r w:rsidRPr="00D62759">
        <w:rPr>
          <w:rFonts w:ascii="Arial" w:eastAsia="宋体" w:hAnsi="Arial" w:cs="Arial"/>
          <w:color w:val="222222"/>
          <w:kern w:val="0"/>
          <w:sz w:val="27"/>
          <w:szCs w:val="27"/>
        </w:rPr>
        <w:t>人民法院在审理食品药品纠纷案件过程中，发现购买者恶意制造生产者或者经营者违法生产经营食品、药品的假象，以投诉、起诉等方式相要挟，向生产者或者经营者索取赔偿金，涉嫌敲诈勒索的，应当及时将有关违法犯罪线索、材料移送公安机关。</w:t>
      </w:r>
    </w:p>
    <w:p w:rsidR="00D62759" w:rsidRPr="00D62759" w:rsidRDefault="00D62759" w:rsidP="00D62759">
      <w:pPr>
        <w:widowControl/>
        <w:shd w:val="clear" w:color="auto" w:fill="FFFFFF"/>
        <w:spacing w:line="450" w:lineRule="atLeast"/>
        <w:jc w:val="left"/>
        <w:rPr>
          <w:rFonts w:ascii="Arial" w:eastAsia="宋体" w:hAnsi="Arial" w:cs="Arial"/>
          <w:color w:val="222222"/>
          <w:kern w:val="0"/>
          <w:sz w:val="27"/>
          <w:szCs w:val="27"/>
        </w:rPr>
      </w:pPr>
      <w:r w:rsidRPr="00D62759">
        <w:rPr>
          <w:rFonts w:ascii="Arial" w:eastAsia="宋体" w:hAnsi="Arial" w:cs="Arial"/>
          <w:b/>
          <w:bCs/>
          <w:color w:val="333333"/>
          <w:kern w:val="0"/>
          <w:sz w:val="27"/>
          <w:szCs w:val="27"/>
        </w:rPr>
        <w:t>第十六条</w:t>
      </w:r>
      <w:r w:rsidRPr="00D62759">
        <w:rPr>
          <w:rFonts w:ascii="Arial" w:eastAsia="宋体" w:hAnsi="Arial" w:cs="Arial"/>
          <w:b/>
          <w:bCs/>
          <w:color w:val="333333"/>
          <w:kern w:val="0"/>
          <w:sz w:val="27"/>
          <w:szCs w:val="27"/>
        </w:rPr>
        <w:t> </w:t>
      </w:r>
      <w:r w:rsidRPr="00D62759">
        <w:rPr>
          <w:rFonts w:ascii="Arial" w:eastAsia="宋体" w:hAnsi="Arial" w:cs="Arial"/>
          <w:color w:val="222222"/>
          <w:kern w:val="0"/>
          <w:sz w:val="27"/>
          <w:szCs w:val="27"/>
        </w:rPr>
        <w:t>购买者恶意制造生产者或者经营者违法生产经营食品、药品的假象，起诉请求生产者或者经营者承担赔偿责任的，人民法院应当驳回购买者诉讼请求；构成虚假诉讼的，人民法院应当依照民事诉讼法相关规定，根据情节轻重对其予以罚款、拘留。</w:t>
      </w:r>
    </w:p>
    <w:p w:rsidR="00D62759" w:rsidRPr="00D62759" w:rsidRDefault="00D62759" w:rsidP="00D62759">
      <w:pPr>
        <w:widowControl/>
        <w:shd w:val="clear" w:color="auto" w:fill="FFFFFF"/>
        <w:spacing w:line="450" w:lineRule="atLeast"/>
        <w:jc w:val="left"/>
        <w:rPr>
          <w:rFonts w:ascii="Arial" w:eastAsia="宋体" w:hAnsi="Arial" w:cs="Arial"/>
          <w:color w:val="222222"/>
          <w:kern w:val="0"/>
          <w:sz w:val="27"/>
          <w:szCs w:val="27"/>
        </w:rPr>
      </w:pPr>
      <w:r w:rsidRPr="00D62759">
        <w:rPr>
          <w:rFonts w:ascii="Arial" w:eastAsia="宋体" w:hAnsi="Arial" w:cs="Arial"/>
          <w:color w:val="222222"/>
          <w:kern w:val="0"/>
          <w:sz w:val="27"/>
          <w:szCs w:val="27"/>
        </w:rPr>
        <w:t>购买者行为侵害生产者或者经营者的名誉权等权利，生产者或者经营者请求购买者承担损害赔偿等民事责任的，人民法院应予支持。</w:t>
      </w:r>
    </w:p>
    <w:p w:rsidR="00D62759" w:rsidRPr="00D62759" w:rsidRDefault="00D62759" w:rsidP="00D62759">
      <w:pPr>
        <w:widowControl/>
        <w:shd w:val="clear" w:color="auto" w:fill="FFFFFF"/>
        <w:spacing w:line="450" w:lineRule="atLeast"/>
        <w:jc w:val="left"/>
        <w:rPr>
          <w:rFonts w:ascii="Arial" w:eastAsia="宋体" w:hAnsi="Arial" w:cs="Arial"/>
          <w:color w:val="222222"/>
          <w:kern w:val="0"/>
          <w:sz w:val="27"/>
          <w:szCs w:val="27"/>
        </w:rPr>
      </w:pPr>
      <w:r w:rsidRPr="00D62759">
        <w:rPr>
          <w:rFonts w:ascii="Arial" w:eastAsia="宋体" w:hAnsi="Arial" w:cs="Arial"/>
          <w:b/>
          <w:bCs/>
          <w:color w:val="333333"/>
          <w:kern w:val="0"/>
          <w:sz w:val="27"/>
          <w:szCs w:val="27"/>
        </w:rPr>
        <w:t>第十七条</w:t>
      </w:r>
      <w:r w:rsidRPr="00D62759">
        <w:rPr>
          <w:rFonts w:ascii="Arial" w:eastAsia="宋体" w:hAnsi="Arial" w:cs="Arial"/>
          <w:b/>
          <w:bCs/>
          <w:color w:val="333333"/>
          <w:kern w:val="0"/>
          <w:sz w:val="27"/>
          <w:szCs w:val="27"/>
        </w:rPr>
        <w:t> </w:t>
      </w:r>
      <w:r w:rsidRPr="00D62759">
        <w:rPr>
          <w:rFonts w:ascii="Arial" w:eastAsia="宋体" w:hAnsi="Arial" w:cs="Arial"/>
          <w:color w:val="222222"/>
          <w:kern w:val="0"/>
          <w:sz w:val="27"/>
          <w:szCs w:val="27"/>
        </w:rPr>
        <w:t>人民法院在审理食品药品纠纷案件过程中，发现当事人的行为涉嫌生产、销售有毒、有害食品及假药、劣药，虚假诉讼等违法犯罪的，应当及时将有关违法犯罪线索、材料移送有关行政机关和公安机关。</w:t>
      </w:r>
    </w:p>
    <w:p w:rsidR="00D62759" w:rsidRPr="00D62759" w:rsidRDefault="00D62759" w:rsidP="00D62759">
      <w:pPr>
        <w:widowControl/>
        <w:shd w:val="clear" w:color="auto" w:fill="FFFFFF"/>
        <w:spacing w:line="450" w:lineRule="atLeast"/>
        <w:jc w:val="left"/>
        <w:rPr>
          <w:rFonts w:ascii="Arial" w:eastAsia="宋体" w:hAnsi="Arial" w:cs="Arial"/>
          <w:color w:val="222222"/>
          <w:kern w:val="0"/>
          <w:sz w:val="27"/>
          <w:szCs w:val="27"/>
        </w:rPr>
      </w:pPr>
      <w:r w:rsidRPr="00D62759">
        <w:rPr>
          <w:rFonts w:ascii="Arial" w:eastAsia="宋体" w:hAnsi="Arial" w:cs="Arial"/>
          <w:b/>
          <w:bCs/>
          <w:color w:val="333333"/>
          <w:kern w:val="0"/>
          <w:sz w:val="27"/>
          <w:szCs w:val="27"/>
        </w:rPr>
        <w:t>第十八条</w:t>
      </w:r>
      <w:r w:rsidRPr="00D62759">
        <w:rPr>
          <w:rFonts w:ascii="Arial" w:eastAsia="宋体" w:hAnsi="Arial" w:cs="Arial"/>
          <w:color w:val="222222"/>
          <w:kern w:val="0"/>
          <w:sz w:val="27"/>
          <w:szCs w:val="27"/>
        </w:rPr>
        <w:t>人民法院在审理食品药品纠纷案件过程中，发现违法生产、销售、使用食品、药品行为的，可以向有关行政机关、生产者或者经营者发出司法建议。</w:t>
      </w:r>
    </w:p>
    <w:p w:rsidR="00D62759" w:rsidRPr="00D62759" w:rsidRDefault="00D62759" w:rsidP="00D62759">
      <w:pPr>
        <w:widowControl/>
        <w:shd w:val="clear" w:color="auto" w:fill="FFFFFF"/>
        <w:spacing w:line="450" w:lineRule="atLeast"/>
        <w:jc w:val="left"/>
        <w:rPr>
          <w:rFonts w:ascii="Arial" w:eastAsia="宋体" w:hAnsi="Arial" w:cs="Arial"/>
          <w:color w:val="222222"/>
          <w:kern w:val="0"/>
          <w:sz w:val="27"/>
          <w:szCs w:val="27"/>
        </w:rPr>
      </w:pPr>
      <w:r w:rsidRPr="00D62759">
        <w:rPr>
          <w:rFonts w:ascii="Arial" w:eastAsia="宋体" w:hAnsi="Arial" w:cs="Arial"/>
          <w:b/>
          <w:bCs/>
          <w:color w:val="333333"/>
          <w:kern w:val="0"/>
          <w:sz w:val="27"/>
          <w:szCs w:val="27"/>
        </w:rPr>
        <w:t>第十九条</w:t>
      </w:r>
      <w:r w:rsidRPr="00D62759">
        <w:rPr>
          <w:rFonts w:ascii="Arial" w:eastAsia="宋体" w:hAnsi="Arial" w:cs="Arial"/>
          <w:b/>
          <w:bCs/>
          <w:color w:val="333333"/>
          <w:kern w:val="0"/>
          <w:sz w:val="27"/>
          <w:szCs w:val="27"/>
        </w:rPr>
        <w:t> </w:t>
      </w:r>
      <w:r w:rsidRPr="00D62759">
        <w:rPr>
          <w:rFonts w:ascii="Arial" w:eastAsia="宋体" w:hAnsi="Arial" w:cs="Arial"/>
          <w:color w:val="222222"/>
          <w:kern w:val="0"/>
          <w:sz w:val="27"/>
          <w:szCs w:val="27"/>
        </w:rPr>
        <w:t>本解释自</w:t>
      </w:r>
      <w:r w:rsidRPr="00D62759">
        <w:rPr>
          <w:rFonts w:ascii="Arial" w:eastAsia="宋体" w:hAnsi="Arial" w:cs="Arial"/>
          <w:color w:val="222222"/>
          <w:kern w:val="0"/>
          <w:sz w:val="27"/>
          <w:szCs w:val="27"/>
        </w:rPr>
        <w:t>2024</w:t>
      </w:r>
      <w:r w:rsidRPr="00D62759">
        <w:rPr>
          <w:rFonts w:ascii="Arial" w:eastAsia="宋体" w:hAnsi="Arial" w:cs="Arial"/>
          <w:color w:val="222222"/>
          <w:kern w:val="0"/>
          <w:sz w:val="27"/>
          <w:szCs w:val="27"/>
        </w:rPr>
        <w:t>年</w:t>
      </w:r>
      <w:r w:rsidRPr="00D62759">
        <w:rPr>
          <w:rFonts w:ascii="Arial" w:eastAsia="宋体" w:hAnsi="Arial" w:cs="Arial"/>
          <w:color w:val="222222"/>
          <w:kern w:val="0"/>
          <w:sz w:val="27"/>
          <w:szCs w:val="27"/>
        </w:rPr>
        <w:t>8</w:t>
      </w:r>
      <w:r w:rsidRPr="00D62759">
        <w:rPr>
          <w:rFonts w:ascii="Arial" w:eastAsia="宋体" w:hAnsi="Arial" w:cs="Arial"/>
          <w:color w:val="222222"/>
          <w:kern w:val="0"/>
          <w:sz w:val="27"/>
          <w:szCs w:val="27"/>
        </w:rPr>
        <w:t>月</w:t>
      </w:r>
      <w:r w:rsidRPr="00D62759">
        <w:rPr>
          <w:rFonts w:ascii="Arial" w:eastAsia="宋体" w:hAnsi="Arial" w:cs="Arial"/>
          <w:color w:val="222222"/>
          <w:kern w:val="0"/>
          <w:sz w:val="27"/>
          <w:szCs w:val="27"/>
        </w:rPr>
        <w:t>22</w:t>
      </w:r>
      <w:r w:rsidRPr="00D62759">
        <w:rPr>
          <w:rFonts w:ascii="Arial" w:eastAsia="宋体" w:hAnsi="Arial" w:cs="Arial"/>
          <w:color w:val="222222"/>
          <w:kern w:val="0"/>
          <w:sz w:val="27"/>
          <w:szCs w:val="27"/>
        </w:rPr>
        <w:t>日起施行。</w:t>
      </w:r>
    </w:p>
    <w:p w:rsidR="00D62759" w:rsidRPr="00D62759" w:rsidRDefault="00D62759" w:rsidP="00D62759">
      <w:pPr>
        <w:widowControl/>
        <w:shd w:val="clear" w:color="auto" w:fill="FFFFFF"/>
        <w:spacing w:line="450" w:lineRule="atLeast"/>
        <w:jc w:val="left"/>
        <w:rPr>
          <w:rFonts w:ascii="Arial" w:eastAsia="宋体" w:hAnsi="Arial" w:cs="Arial"/>
          <w:color w:val="222222"/>
          <w:kern w:val="0"/>
          <w:sz w:val="27"/>
          <w:szCs w:val="27"/>
        </w:rPr>
      </w:pPr>
      <w:r w:rsidRPr="00D62759">
        <w:rPr>
          <w:rFonts w:ascii="Arial" w:eastAsia="宋体" w:hAnsi="Arial" w:cs="Arial"/>
          <w:color w:val="222222"/>
          <w:kern w:val="0"/>
          <w:sz w:val="27"/>
          <w:szCs w:val="27"/>
        </w:rPr>
        <w:lastRenderedPageBreak/>
        <w:t>本解释施行后尚未终审的民事案件，适用本解释；本解释施行前已经终审，当事人申请再审或者按照审判监督程序决定再审的民事案件，不适用本解释。</w:t>
      </w:r>
    </w:p>
    <w:p w:rsidR="001F16BB" w:rsidRDefault="001F16BB">
      <w:pPr>
        <w:widowControl/>
        <w:jc w:val="left"/>
      </w:pPr>
      <w:r>
        <w:br w:type="page"/>
      </w:r>
    </w:p>
    <w:p w:rsidR="00AD5D6F" w:rsidRDefault="001F16BB">
      <w:pPr>
        <w:rPr>
          <w:b/>
        </w:rPr>
      </w:pPr>
      <w:r w:rsidRPr="001F16BB">
        <w:rPr>
          <w:rFonts w:hint="eastAsia"/>
          <w:b/>
        </w:rPr>
        <w:lastRenderedPageBreak/>
        <w:t>附</w:t>
      </w:r>
      <w:r w:rsidR="00D75309">
        <w:rPr>
          <w:rFonts w:hint="eastAsia"/>
          <w:b/>
        </w:rPr>
        <w:t>1</w:t>
      </w:r>
      <w:r w:rsidRPr="001F16BB">
        <w:rPr>
          <w:rFonts w:hint="eastAsia"/>
          <w:b/>
        </w:rPr>
        <w:t>：相关</w:t>
      </w:r>
      <w:r w:rsidRPr="001F16BB">
        <w:rPr>
          <w:b/>
        </w:rPr>
        <w:t>的法律条文</w:t>
      </w:r>
    </w:p>
    <w:p w:rsidR="001F16BB" w:rsidRPr="001F16BB" w:rsidRDefault="001F16BB">
      <w:pPr>
        <w:rPr>
          <w:b/>
        </w:rPr>
      </w:pPr>
    </w:p>
    <w:p w:rsidR="001F16BB" w:rsidRPr="001F16BB" w:rsidRDefault="001F16BB" w:rsidP="001F16BB">
      <w:pPr>
        <w:adjustRightInd w:val="0"/>
        <w:snapToGrid w:val="0"/>
        <w:rPr>
          <w:rFonts w:asciiTheme="minorEastAsia" w:hAnsiTheme="minorEastAsia"/>
          <w:sz w:val="24"/>
          <w:szCs w:val="24"/>
        </w:rPr>
      </w:pPr>
      <w:r w:rsidRPr="001F16BB">
        <w:rPr>
          <w:rFonts w:asciiTheme="minorEastAsia" w:hAnsiTheme="minorEastAsia" w:hint="eastAsia"/>
          <w:sz w:val="24"/>
          <w:szCs w:val="24"/>
        </w:rPr>
        <w:t>《食品安全法》第一百四十八条第二款</w:t>
      </w:r>
    </w:p>
    <w:p w:rsidR="001F16BB" w:rsidRDefault="001F16BB" w:rsidP="001F16BB">
      <w:pPr>
        <w:widowControl/>
        <w:adjustRightInd w:val="0"/>
        <w:snapToGrid w:val="0"/>
        <w:ind w:firstLine="480"/>
        <w:jc w:val="left"/>
        <w:rPr>
          <w:rFonts w:asciiTheme="minorEastAsia" w:hAnsiTheme="minorEastAsia" w:cs="宋体"/>
          <w:kern w:val="0"/>
          <w:sz w:val="24"/>
          <w:szCs w:val="24"/>
        </w:rPr>
      </w:pPr>
      <w:r w:rsidRPr="001F16BB">
        <w:rPr>
          <w:rFonts w:asciiTheme="minorEastAsia" w:hAnsiTheme="minorEastAsia" w:cs="宋体" w:hint="eastAsia"/>
          <w:kern w:val="0"/>
          <w:sz w:val="24"/>
          <w:szCs w:val="24"/>
        </w:rPr>
        <w:t>生产不符合食品安全标准的食品或者经营明知是不符合食品安全标准的食品，消费者除要求赔偿损失外，还可以向生产者或者经营者要求支付价款十倍或者损失三倍的赔偿金；增加赔偿的金额不足一千元的，为一千元。但是，食品的标签、说明书存在不影响食品安全且不会对消费者造成误导的瑕疵的除外。</w:t>
      </w:r>
    </w:p>
    <w:p w:rsidR="001F16BB" w:rsidRPr="001F16BB" w:rsidRDefault="001F16BB" w:rsidP="001F16BB">
      <w:pPr>
        <w:widowControl/>
        <w:adjustRightInd w:val="0"/>
        <w:snapToGrid w:val="0"/>
        <w:ind w:firstLine="480"/>
        <w:jc w:val="left"/>
        <w:rPr>
          <w:rFonts w:asciiTheme="minorEastAsia" w:hAnsiTheme="minorEastAsia" w:cs="宋体"/>
          <w:kern w:val="0"/>
          <w:sz w:val="24"/>
          <w:szCs w:val="24"/>
        </w:rPr>
      </w:pPr>
    </w:p>
    <w:p w:rsidR="001F16BB" w:rsidRPr="001F16BB" w:rsidRDefault="001F16BB" w:rsidP="001F16BB">
      <w:pPr>
        <w:adjustRightInd w:val="0"/>
        <w:snapToGrid w:val="0"/>
        <w:rPr>
          <w:rFonts w:asciiTheme="minorEastAsia" w:hAnsiTheme="minorEastAsia" w:cs="Arial"/>
          <w:sz w:val="24"/>
          <w:szCs w:val="24"/>
          <w:shd w:val="clear" w:color="auto" w:fill="FFFFFF"/>
        </w:rPr>
      </w:pPr>
      <w:r w:rsidRPr="001F16BB">
        <w:rPr>
          <w:rFonts w:asciiTheme="minorEastAsia" w:hAnsiTheme="minorEastAsia" w:cs="Arial" w:hint="eastAsia"/>
          <w:sz w:val="24"/>
          <w:szCs w:val="24"/>
          <w:shd w:val="clear" w:color="auto" w:fill="FFFFFF"/>
        </w:rPr>
        <w:t>《</w:t>
      </w:r>
      <w:r w:rsidRPr="001F16BB">
        <w:rPr>
          <w:rFonts w:asciiTheme="minorEastAsia" w:hAnsiTheme="minorEastAsia" w:cs="Arial"/>
          <w:sz w:val="24"/>
          <w:szCs w:val="24"/>
          <w:shd w:val="clear" w:color="auto" w:fill="FFFFFF"/>
        </w:rPr>
        <w:t>药品管理法</w:t>
      </w:r>
      <w:r w:rsidRPr="001F16BB">
        <w:rPr>
          <w:rFonts w:asciiTheme="minorEastAsia" w:hAnsiTheme="minorEastAsia" w:cs="Arial" w:hint="eastAsia"/>
          <w:sz w:val="24"/>
          <w:szCs w:val="24"/>
          <w:shd w:val="clear" w:color="auto" w:fill="FFFFFF"/>
        </w:rPr>
        <w:t>》</w:t>
      </w:r>
      <w:r w:rsidRPr="001F16BB">
        <w:rPr>
          <w:rFonts w:asciiTheme="minorEastAsia" w:hAnsiTheme="minorEastAsia" w:cs="Arial"/>
          <w:sz w:val="24"/>
          <w:szCs w:val="24"/>
          <w:shd w:val="clear" w:color="auto" w:fill="FFFFFF"/>
        </w:rPr>
        <w:t>第一百四十四条第三款</w:t>
      </w:r>
    </w:p>
    <w:p w:rsidR="001F16BB" w:rsidRDefault="001F16BB" w:rsidP="001F16BB">
      <w:pPr>
        <w:widowControl/>
        <w:shd w:val="clear" w:color="auto" w:fill="FFFFFF"/>
        <w:adjustRightInd w:val="0"/>
        <w:snapToGrid w:val="0"/>
        <w:ind w:firstLine="480"/>
        <w:jc w:val="left"/>
        <w:rPr>
          <w:rFonts w:asciiTheme="minorEastAsia" w:hAnsiTheme="minorEastAsia" w:cs="Helvetica"/>
          <w:kern w:val="0"/>
          <w:sz w:val="24"/>
          <w:szCs w:val="24"/>
        </w:rPr>
      </w:pPr>
      <w:r w:rsidRPr="001F16BB">
        <w:rPr>
          <w:rFonts w:asciiTheme="minorEastAsia" w:hAnsiTheme="minorEastAsia" w:cs="Helvetica"/>
          <w:kern w:val="0"/>
          <w:sz w:val="24"/>
          <w:szCs w:val="24"/>
        </w:rPr>
        <w:t>生产假药、劣药或者明知是假药、劣药仍然销售、使用的，受害人或者其近亲属除请求赔偿损失外，还可以请求支付价款十倍或者损失三倍的赔偿金；增加赔偿的金额不足一千元的，为一千元。</w:t>
      </w:r>
    </w:p>
    <w:p w:rsidR="001F16BB" w:rsidRPr="001F16BB" w:rsidRDefault="001F16BB" w:rsidP="001F16BB">
      <w:pPr>
        <w:widowControl/>
        <w:shd w:val="clear" w:color="auto" w:fill="FFFFFF"/>
        <w:adjustRightInd w:val="0"/>
        <w:snapToGrid w:val="0"/>
        <w:ind w:firstLine="480"/>
        <w:jc w:val="left"/>
        <w:rPr>
          <w:rFonts w:asciiTheme="minorEastAsia" w:hAnsiTheme="minorEastAsia" w:cs="Helvetica"/>
          <w:kern w:val="0"/>
          <w:sz w:val="24"/>
          <w:szCs w:val="24"/>
        </w:rPr>
      </w:pPr>
    </w:p>
    <w:p w:rsidR="001F16BB" w:rsidRPr="001F16BB" w:rsidRDefault="001F16BB" w:rsidP="001F16BB">
      <w:pPr>
        <w:adjustRightInd w:val="0"/>
        <w:snapToGrid w:val="0"/>
        <w:rPr>
          <w:rFonts w:asciiTheme="minorEastAsia" w:hAnsiTheme="minorEastAsia" w:cs="Arial"/>
          <w:sz w:val="24"/>
          <w:szCs w:val="24"/>
          <w:shd w:val="clear" w:color="auto" w:fill="FFFFFF"/>
        </w:rPr>
      </w:pPr>
      <w:r w:rsidRPr="001F16BB">
        <w:rPr>
          <w:rFonts w:asciiTheme="minorEastAsia" w:hAnsiTheme="minorEastAsia" w:cs="Arial" w:hint="eastAsia"/>
          <w:sz w:val="24"/>
          <w:szCs w:val="24"/>
          <w:shd w:val="clear" w:color="auto" w:fill="FFFFFF"/>
        </w:rPr>
        <w:t>《</w:t>
      </w:r>
      <w:r w:rsidRPr="001F16BB">
        <w:rPr>
          <w:rFonts w:asciiTheme="minorEastAsia" w:hAnsiTheme="minorEastAsia" w:cs="Arial"/>
          <w:sz w:val="24"/>
          <w:szCs w:val="24"/>
          <w:shd w:val="clear" w:color="auto" w:fill="FFFFFF"/>
        </w:rPr>
        <w:t>食品安全法</w:t>
      </w:r>
      <w:r w:rsidRPr="001F16BB">
        <w:rPr>
          <w:rFonts w:asciiTheme="minorEastAsia" w:hAnsiTheme="minorEastAsia" w:cs="Arial" w:hint="eastAsia"/>
          <w:sz w:val="24"/>
          <w:szCs w:val="24"/>
          <w:shd w:val="clear" w:color="auto" w:fill="FFFFFF"/>
        </w:rPr>
        <w:t>》</w:t>
      </w:r>
      <w:r w:rsidRPr="001F16BB">
        <w:rPr>
          <w:rFonts w:asciiTheme="minorEastAsia" w:hAnsiTheme="minorEastAsia" w:cs="Arial"/>
          <w:sz w:val="24"/>
          <w:szCs w:val="24"/>
          <w:shd w:val="clear" w:color="auto" w:fill="FFFFFF"/>
        </w:rPr>
        <w:t>第一百五十条</w:t>
      </w:r>
      <w:r>
        <w:rPr>
          <w:rFonts w:asciiTheme="minorEastAsia" w:hAnsiTheme="minorEastAsia" w:cs="Arial" w:hint="eastAsia"/>
          <w:sz w:val="24"/>
          <w:szCs w:val="24"/>
          <w:shd w:val="clear" w:color="auto" w:fill="FFFFFF"/>
        </w:rPr>
        <w:t xml:space="preserve"> “</w:t>
      </w:r>
      <w:r w:rsidRPr="001F16BB">
        <w:rPr>
          <w:rFonts w:asciiTheme="minorEastAsia" w:hAnsiTheme="minorEastAsia" w:cs="Arial"/>
          <w:sz w:val="24"/>
          <w:szCs w:val="24"/>
          <w:shd w:val="clear" w:color="auto" w:fill="FFFFFF"/>
        </w:rPr>
        <w:t>关于食品安全的规定</w:t>
      </w:r>
      <w:r>
        <w:rPr>
          <w:rFonts w:asciiTheme="minorEastAsia" w:hAnsiTheme="minorEastAsia" w:cs="Arial" w:hint="eastAsia"/>
          <w:sz w:val="24"/>
          <w:szCs w:val="24"/>
          <w:shd w:val="clear" w:color="auto" w:fill="FFFFFF"/>
        </w:rPr>
        <w:t>”</w:t>
      </w:r>
    </w:p>
    <w:p w:rsidR="001F16BB" w:rsidRDefault="001F16BB" w:rsidP="001F16BB">
      <w:pPr>
        <w:widowControl/>
        <w:adjustRightInd w:val="0"/>
        <w:snapToGrid w:val="0"/>
        <w:ind w:firstLine="480"/>
        <w:jc w:val="left"/>
        <w:rPr>
          <w:rFonts w:asciiTheme="minorEastAsia" w:hAnsiTheme="minorEastAsia" w:cs="宋体"/>
          <w:kern w:val="0"/>
          <w:sz w:val="24"/>
          <w:szCs w:val="24"/>
        </w:rPr>
      </w:pPr>
      <w:r w:rsidRPr="001F16BB">
        <w:rPr>
          <w:rFonts w:asciiTheme="minorEastAsia" w:hAnsiTheme="minorEastAsia" w:cs="宋体" w:hint="eastAsia"/>
          <w:kern w:val="0"/>
          <w:sz w:val="24"/>
          <w:szCs w:val="24"/>
        </w:rPr>
        <w:t>食品安全，指食品无毒、无害，符合应当有的营养要求，对人体健康不造成任何急性、亚急性或者慢性危害。</w:t>
      </w:r>
    </w:p>
    <w:p w:rsidR="001F16BB" w:rsidRPr="001F16BB" w:rsidRDefault="001F16BB" w:rsidP="001F16BB">
      <w:pPr>
        <w:widowControl/>
        <w:adjustRightInd w:val="0"/>
        <w:snapToGrid w:val="0"/>
        <w:ind w:firstLine="480"/>
        <w:jc w:val="left"/>
        <w:rPr>
          <w:rFonts w:asciiTheme="minorEastAsia" w:hAnsiTheme="minorEastAsia" w:cs="宋体"/>
          <w:kern w:val="0"/>
          <w:sz w:val="24"/>
          <w:szCs w:val="24"/>
        </w:rPr>
      </w:pPr>
    </w:p>
    <w:p w:rsidR="001F16BB" w:rsidRPr="001F16BB" w:rsidRDefault="001F16BB" w:rsidP="001F16BB">
      <w:pPr>
        <w:adjustRightInd w:val="0"/>
        <w:snapToGrid w:val="0"/>
        <w:rPr>
          <w:rFonts w:asciiTheme="minorEastAsia" w:hAnsiTheme="minorEastAsia" w:cs="Arial"/>
          <w:sz w:val="24"/>
          <w:szCs w:val="24"/>
          <w:shd w:val="clear" w:color="auto" w:fill="FFFFFF"/>
        </w:rPr>
      </w:pPr>
      <w:r w:rsidRPr="001F16BB">
        <w:rPr>
          <w:rFonts w:asciiTheme="minorEastAsia" w:hAnsiTheme="minorEastAsia" w:cs="Arial" w:hint="eastAsia"/>
          <w:sz w:val="24"/>
          <w:szCs w:val="24"/>
          <w:shd w:val="clear" w:color="auto" w:fill="FFFFFF"/>
        </w:rPr>
        <w:t>《</w:t>
      </w:r>
      <w:r w:rsidRPr="001F16BB">
        <w:rPr>
          <w:rFonts w:asciiTheme="minorEastAsia" w:hAnsiTheme="minorEastAsia" w:cs="Arial"/>
          <w:sz w:val="24"/>
          <w:szCs w:val="24"/>
          <w:shd w:val="clear" w:color="auto" w:fill="FFFFFF"/>
        </w:rPr>
        <w:t>消费者权益保护法</w:t>
      </w:r>
      <w:r w:rsidRPr="001F16BB">
        <w:rPr>
          <w:rFonts w:asciiTheme="minorEastAsia" w:hAnsiTheme="minorEastAsia" w:cs="Arial" w:hint="eastAsia"/>
          <w:sz w:val="24"/>
          <w:szCs w:val="24"/>
          <w:shd w:val="clear" w:color="auto" w:fill="FFFFFF"/>
        </w:rPr>
        <w:t>》</w:t>
      </w:r>
      <w:r w:rsidRPr="001F16BB">
        <w:rPr>
          <w:rFonts w:asciiTheme="minorEastAsia" w:hAnsiTheme="minorEastAsia" w:cs="Arial"/>
          <w:sz w:val="24"/>
          <w:szCs w:val="24"/>
          <w:shd w:val="clear" w:color="auto" w:fill="FFFFFF"/>
        </w:rPr>
        <w:t>第五十五条第一款</w:t>
      </w:r>
    </w:p>
    <w:p w:rsidR="001F16BB" w:rsidRPr="001F16BB" w:rsidRDefault="001F16BB" w:rsidP="001F16BB">
      <w:pPr>
        <w:adjustRightInd w:val="0"/>
        <w:snapToGrid w:val="0"/>
        <w:ind w:firstLineChars="200" w:firstLine="480"/>
        <w:rPr>
          <w:rFonts w:asciiTheme="minorEastAsia" w:hAnsiTheme="minorEastAsia"/>
          <w:sz w:val="24"/>
          <w:szCs w:val="24"/>
        </w:rPr>
      </w:pPr>
      <w:r w:rsidRPr="001F16BB">
        <w:rPr>
          <w:rFonts w:asciiTheme="minorEastAsia" w:hAnsiTheme="minorEastAsia" w:hint="eastAsia"/>
          <w:sz w:val="24"/>
          <w:szCs w:val="24"/>
        </w:rPr>
        <w:t>经营者提供商品或者服务有欺诈行为的，应当按照消费者的要求增加赔偿其受到的损失，增加赔偿的金额为消费者购买商品的价款或者接受服务的费用的三倍；增加赔偿的金额不足五百元的，为五百元。法律另有规定的，依照其规定。</w:t>
      </w:r>
    </w:p>
    <w:p w:rsidR="00D75309" w:rsidRDefault="00D75309">
      <w:pPr>
        <w:widowControl/>
        <w:jc w:val="left"/>
      </w:pPr>
      <w:r>
        <w:br w:type="page"/>
      </w:r>
    </w:p>
    <w:p w:rsidR="001F16BB" w:rsidRPr="00037E6E" w:rsidRDefault="00D75309" w:rsidP="00D75309">
      <w:pPr>
        <w:adjustRightInd w:val="0"/>
        <w:snapToGrid w:val="0"/>
        <w:rPr>
          <w:rFonts w:asciiTheme="minorEastAsia" w:hAnsiTheme="minorEastAsia"/>
          <w:b/>
          <w:sz w:val="24"/>
          <w:szCs w:val="24"/>
        </w:rPr>
      </w:pPr>
      <w:r w:rsidRPr="00037E6E">
        <w:rPr>
          <w:rFonts w:asciiTheme="minorEastAsia" w:hAnsiTheme="minorEastAsia" w:hint="eastAsia"/>
          <w:b/>
          <w:sz w:val="24"/>
          <w:szCs w:val="24"/>
        </w:rPr>
        <w:lastRenderedPageBreak/>
        <w:t>附2：《解释》的制定背景、起草过程、起草的基本原则和思路以及主要内容</w:t>
      </w:r>
    </w:p>
    <w:p w:rsidR="00D75309" w:rsidRPr="00037E6E" w:rsidRDefault="00D75309" w:rsidP="00D75309">
      <w:pPr>
        <w:adjustRightInd w:val="0"/>
        <w:snapToGrid w:val="0"/>
        <w:ind w:firstLineChars="200" w:firstLine="480"/>
        <w:rPr>
          <w:rFonts w:asciiTheme="minorEastAsia" w:hAnsiTheme="minorEastAsia"/>
          <w:sz w:val="24"/>
          <w:szCs w:val="24"/>
        </w:rPr>
      </w:pPr>
      <w:r w:rsidRPr="00037E6E">
        <w:rPr>
          <w:rFonts w:asciiTheme="minorEastAsia" w:hAnsiTheme="minorEastAsia" w:hint="eastAsia"/>
          <w:sz w:val="24"/>
          <w:szCs w:val="24"/>
        </w:rPr>
        <w:t>《最高人民法院关于审理食品药品惩罚性赔偿纠纷案件适用法律若干问题的解释》（以下简称《解释》）已于2024年3月18日由最高人民法院审判委员会第1918次会议审议通过，将自2024年8月22日起施行。《解释》的制定背景、起草过程、起草的基本原则和思路以及主要内容如下：</w:t>
      </w:r>
    </w:p>
    <w:p w:rsidR="00D75309" w:rsidRPr="00037E6E" w:rsidRDefault="00D75309" w:rsidP="00D75309">
      <w:pPr>
        <w:adjustRightInd w:val="0"/>
        <w:snapToGrid w:val="0"/>
        <w:ind w:firstLineChars="200" w:firstLine="480"/>
        <w:rPr>
          <w:rFonts w:asciiTheme="minorEastAsia" w:hAnsiTheme="minorEastAsia"/>
          <w:sz w:val="24"/>
          <w:szCs w:val="24"/>
        </w:rPr>
      </w:pPr>
      <w:r w:rsidRPr="00037E6E">
        <w:rPr>
          <w:rFonts w:asciiTheme="minorEastAsia" w:hAnsiTheme="minorEastAsia" w:hint="eastAsia"/>
          <w:sz w:val="24"/>
          <w:szCs w:val="24"/>
        </w:rPr>
        <w:t>一、《解释》的制定背景和起草过程</w:t>
      </w:r>
    </w:p>
    <w:p w:rsidR="00D75309" w:rsidRPr="00037E6E" w:rsidRDefault="00D75309" w:rsidP="00D75309">
      <w:pPr>
        <w:adjustRightInd w:val="0"/>
        <w:snapToGrid w:val="0"/>
        <w:ind w:firstLineChars="200" w:firstLine="480"/>
        <w:rPr>
          <w:rFonts w:asciiTheme="minorEastAsia" w:hAnsiTheme="minorEastAsia"/>
          <w:sz w:val="24"/>
          <w:szCs w:val="24"/>
        </w:rPr>
      </w:pPr>
      <w:r w:rsidRPr="00037E6E">
        <w:rPr>
          <w:rFonts w:asciiTheme="minorEastAsia" w:hAnsiTheme="minorEastAsia" w:hint="eastAsia"/>
          <w:sz w:val="24"/>
          <w:szCs w:val="24"/>
        </w:rPr>
        <w:t>消费案虽“小”，牵系大民生。食品药品安全是人民群众最关心、最直接、最现实的利益问题。为深入贯彻习近平总书记提出的“四个最严”要求，贯彻落实党的二十届三中全会关于完善食品药品安全责任体系和惩罚性赔偿制度要求，积极回应新时代人民群众对食品药品安全的新期待，服务保障经济社会高质量发展，针对实践中争议的食品标签及说明书瑕疵认定、代购人责任、小作坊责任、“知假买假”索赔等问题，最高人民法院于2023年启动《解释》立项工作。起草过程中多次征求立法机关、行政机关、消费者权益保护组织、法院系统、全国人大代表、全国政协委员、专家学者、消费者、生产经营者等意见，并于2023年11月30日向社会公开征求意见。在综合各方意见的基础上，经过多次论证、修改，形成送审稿，提请最高人民法院审判委员会审议后通过。</w:t>
      </w:r>
    </w:p>
    <w:p w:rsidR="00D75309" w:rsidRPr="00037E6E" w:rsidRDefault="00D75309" w:rsidP="00D75309">
      <w:pPr>
        <w:adjustRightInd w:val="0"/>
        <w:snapToGrid w:val="0"/>
        <w:ind w:firstLineChars="200" w:firstLine="480"/>
        <w:rPr>
          <w:rFonts w:asciiTheme="minorEastAsia" w:hAnsiTheme="minorEastAsia"/>
          <w:sz w:val="24"/>
          <w:szCs w:val="24"/>
        </w:rPr>
      </w:pPr>
      <w:r w:rsidRPr="00037E6E">
        <w:rPr>
          <w:rFonts w:asciiTheme="minorEastAsia" w:hAnsiTheme="minorEastAsia" w:hint="eastAsia"/>
          <w:sz w:val="24"/>
          <w:szCs w:val="24"/>
        </w:rPr>
        <w:t>二、《解释》起草的基本原则</w:t>
      </w:r>
    </w:p>
    <w:p w:rsidR="00D75309" w:rsidRPr="00037E6E" w:rsidRDefault="00D75309" w:rsidP="00D75309">
      <w:pPr>
        <w:adjustRightInd w:val="0"/>
        <w:snapToGrid w:val="0"/>
        <w:ind w:firstLineChars="200" w:firstLine="480"/>
        <w:rPr>
          <w:rFonts w:asciiTheme="minorEastAsia" w:hAnsiTheme="minorEastAsia"/>
          <w:sz w:val="24"/>
          <w:szCs w:val="24"/>
        </w:rPr>
      </w:pPr>
      <w:r w:rsidRPr="00037E6E">
        <w:rPr>
          <w:rFonts w:asciiTheme="minorEastAsia" w:hAnsiTheme="minorEastAsia" w:hint="eastAsia"/>
          <w:sz w:val="24"/>
          <w:szCs w:val="24"/>
        </w:rPr>
        <w:t>在起草《解释》过程中，最高人民法院坚持以下基本原则：一是贯彻落实中央精神。始终坚持以习近平新时代中国特色社会主义思想为指导，深入学习贯彻习近平法治思想，贯彻落实习近平总书记提出的“四个最严”要求以及党的二十届三中全会关于完善食品药品安全责任体系和惩罚性赔偿制度的要求，将保护食品药品安全和消费者权益作为首要价值取向，构建更加科学合理的食品药品惩罚性赔偿制度实施机制。二是坚持依法解释。《解释》起草工作立足于体现立法精神、遵循立法本意，确保《解释》紧扣民法典、食品安全法、药品管理法、消费者权益保护法等法律的立法目的。三是坚持问题导向。深入司法审判和行政执法一线调研，充分了解消费者、食品药品生产销售企业等面临的突出问题，立足审判实践，积极回应广大人民群众和生产经营者的关切。</w:t>
      </w:r>
    </w:p>
    <w:p w:rsidR="00D75309" w:rsidRPr="00037E6E" w:rsidRDefault="00D75309" w:rsidP="00D75309">
      <w:pPr>
        <w:adjustRightInd w:val="0"/>
        <w:snapToGrid w:val="0"/>
        <w:ind w:firstLineChars="200" w:firstLine="480"/>
        <w:rPr>
          <w:rFonts w:asciiTheme="minorEastAsia" w:hAnsiTheme="minorEastAsia"/>
          <w:sz w:val="24"/>
          <w:szCs w:val="24"/>
        </w:rPr>
      </w:pPr>
      <w:r w:rsidRPr="00037E6E">
        <w:rPr>
          <w:rFonts w:asciiTheme="minorEastAsia" w:hAnsiTheme="minorEastAsia" w:hint="eastAsia"/>
          <w:sz w:val="24"/>
          <w:szCs w:val="24"/>
        </w:rPr>
        <w:t>三、《解释》起草的基本思路</w:t>
      </w:r>
    </w:p>
    <w:p w:rsidR="00D75309" w:rsidRPr="00037E6E" w:rsidRDefault="00D75309" w:rsidP="00D75309">
      <w:pPr>
        <w:adjustRightInd w:val="0"/>
        <w:snapToGrid w:val="0"/>
        <w:ind w:firstLineChars="200" w:firstLine="480"/>
        <w:rPr>
          <w:rFonts w:asciiTheme="minorEastAsia" w:hAnsiTheme="minorEastAsia"/>
          <w:sz w:val="24"/>
          <w:szCs w:val="24"/>
        </w:rPr>
      </w:pPr>
      <w:r w:rsidRPr="00037E6E">
        <w:rPr>
          <w:rFonts w:asciiTheme="minorEastAsia" w:hAnsiTheme="minorEastAsia" w:hint="eastAsia"/>
          <w:sz w:val="24"/>
          <w:szCs w:val="24"/>
        </w:rPr>
        <w:t>《解释》起草过程中，最高人民法院正确处理以下四个关系：一是保护消费者合法权益与促进经济社会持续健康发展的关系。《解释》在加强消费者权益保护的同时，贯彻“过罚相当”原则，规制高额索赔行为，维护正常生产经营秩序，服务和保障经济社会持续健康发展。二是保护维权行为和惩治违法索赔的关系。《解释》充分保护消费者维权行为，发挥人民群众主体作用和监督作用，让“舌尖上的安全”更有保障。同时依法惩治违法索赔，维护正常生产经营秩序。三是统一规则与依法裁量的关系。《解释》坚持以生活消费需要为支持购买者惩罚性赔偿请求的条件，统一裁判尺度。同时明确根据具体情况判断合理生活消费需要范围，实现公正裁判。四是民事审判与行政监管和刑事打击的关系。《解释》专门就线索移送、司法建议等民事审判与行政监管、刑事打击的衔接机制作出规定。</w:t>
      </w:r>
    </w:p>
    <w:p w:rsidR="00D75309" w:rsidRPr="00037E6E" w:rsidRDefault="00D75309" w:rsidP="00D75309">
      <w:pPr>
        <w:adjustRightInd w:val="0"/>
        <w:snapToGrid w:val="0"/>
        <w:ind w:firstLineChars="200" w:firstLine="480"/>
        <w:rPr>
          <w:rFonts w:asciiTheme="minorEastAsia" w:hAnsiTheme="minorEastAsia"/>
          <w:sz w:val="24"/>
          <w:szCs w:val="24"/>
        </w:rPr>
      </w:pPr>
      <w:r w:rsidRPr="00037E6E">
        <w:rPr>
          <w:rFonts w:asciiTheme="minorEastAsia" w:hAnsiTheme="minorEastAsia" w:hint="eastAsia"/>
          <w:sz w:val="24"/>
          <w:szCs w:val="24"/>
        </w:rPr>
        <w:t>四、《解释》的主要内容</w:t>
      </w:r>
    </w:p>
    <w:p w:rsidR="00D75309" w:rsidRPr="00037E6E" w:rsidRDefault="00D75309" w:rsidP="00D75309">
      <w:pPr>
        <w:adjustRightInd w:val="0"/>
        <w:snapToGrid w:val="0"/>
        <w:ind w:firstLineChars="200" w:firstLine="480"/>
        <w:rPr>
          <w:rFonts w:asciiTheme="minorEastAsia" w:hAnsiTheme="minorEastAsia"/>
          <w:sz w:val="24"/>
          <w:szCs w:val="24"/>
        </w:rPr>
      </w:pPr>
      <w:r w:rsidRPr="00037E6E">
        <w:rPr>
          <w:rFonts w:asciiTheme="minorEastAsia" w:hAnsiTheme="minorEastAsia" w:hint="eastAsia"/>
          <w:sz w:val="24"/>
          <w:szCs w:val="24"/>
        </w:rPr>
        <w:t>《解释》共19条，对保护普通消费者维权、退款和返还食品药品、代购人责任、小作坊责任、标签说明书瑕疵认定、惩罚性赔偿责任竞合、生产经营假药劣药责任、惩罚性赔偿金基数认定、规制连续购买索赔和反复索赔、惩治违法索赔等作出规定，主要内容包括：</w:t>
      </w:r>
    </w:p>
    <w:p w:rsidR="00D75309" w:rsidRPr="00037E6E" w:rsidRDefault="00D75309" w:rsidP="00D75309">
      <w:pPr>
        <w:adjustRightInd w:val="0"/>
        <w:snapToGrid w:val="0"/>
        <w:ind w:firstLineChars="200" w:firstLine="480"/>
        <w:rPr>
          <w:rFonts w:asciiTheme="minorEastAsia" w:hAnsiTheme="minorEastAsia"/>
          <w:sz w:val="24"/>
          <w:szCs w:val="24"/>
        </w:rPr>
      </w:pPr>
      <w:r w:rsidRPr="00037E6E">
        <w:rPr>
          <w:rFonts w:asciiTheme="minorEastAsia" w:hAnsiTheme="minorEastAsia" w:hint="eastAsia"/>
          <w:sz w:val="24"/>
          <w:szCs w:val="24"/>
        </w:rPr>
        <w:t>一是对普通消费者应以实际支付价款作为计算惩罚性赔偿金的基数。《解释》</w:t>
      </w:r>
      <w:r w:rsidRPr="00037E6E">
        <w:rPr>
          <w:rFonts w:asciiTheme="minorEastAsia" w:hAnsiTheme="minorEastAsia" w:hint="eastAsia"/>
          <w:sz w:val="24"/>
          <w:szCs w:val="24"/>
        </w:rPr>
        <w:lastRenderedPageBreak/>
        <w:t>对所有购买者均在生活消费需要范围内支持惩罚性赔偿请求。《解释》第一条规定，如果购买者系因个人或者家庭生活消费需要购买食品，没有证据证明其明知所购买食品不符合食品安全标准仍然购买的，应当以实际支付价款为基数计算价款十倍的惩罚性赔偿金，充分保护普通消费者的维权行为。</w:t>
      </w:r>
    </w:p>
    <w:p w:rsidR="00D75309" w:rsidRPr="00037E6E" w:rsidRDefault="00D75309" w:rsidP="00D75309">
      <w:pPr>
        <w:adjustRightInd w:val="0"/>
        <w:snapToGrid w:val="0"/>
        <w:ind w:firstLineChars="200" w:firstLine="480"/>
        <w:rPr>
          <w:rFonts w:asciiTheme="minorEastAsia" w:hAnsiTheme="minorEastAsia"/>
          <w:sz w:val="24"/>
          <w:szCs w:val="24"/>
        </w:rPr>
      </w:pPr>
      <w:r w:rsidRPr="00037E6E">
        <w:rPr>
          <w:rFonts w:asciiTheme="minorEastAsia" w:hAnsiTheme="minorEastAsia" w:hint="eastAsia"/>
          <w:sz w:val="24"/>
          <w:szCs w:val="24"/>
        </w:rPr>
        <w:t>二是确立退款和返还食品药品规则。《解释》第二条充分吸收群众来信意见，规定依法应当对食品、药品采取无害化处理、销毁等措施的，应当依照食品安全法、药品管理法的相关规定处理，消除人民群众对不合格食品药品再次流入市场的担心。</w:t>
      </w:r>
    </w:p>
    <w:p w:rsidR="00D75309" w:rsidRPr="00037E6E" w:rsidRDefault="00D75309" w:rsidP="00D75309">
      <w:pPr>
        <w:adjustRightInd w:val="0"/>
        <w:snapToGrid w:val="0"/>
        <w:ind w:firstLineChars="200" w:firstLine="480"/>
        <w:rPr>
          <w:rFonts w:asciiTheme="minorEastAsia" w:hAnsiTheme="minorEastAsia"/>
          <w:sz w:val="24"/>
          <w:szCs w:val="24"/>
        </w:rPr>
      </w:pPr>
      <w:r w:rsidRPr="00037E6E">
        <w:rPr>
          <w:rFonts w:asciiTheme="minorEastAsia" w:hAnsiTheme="minorEastAsia" w:hint="eastAsia"/>
          <w:sz w:val="24"/>
          <w:szCs w:val="24"/>
        </w:rPr>
        <w:t>三是规定代购人和小作坊责任。《解释》第三条规定，代购人如果以代购为业，应当依法承担惩罚性赔偿责任。第四条要求准确理解和适用食品安全法规定，既要保护食品安全，又要避免不当加重食品生产加工小作坊和食品摊贩等生产经营者责任。</w:t>
      </w:r>
    </w:p>
    <w:p w:rsidR="00D75309" w:rsidRPr="00037E6E" w:rsidRDefault="00D75309" w:rsidP="00D75309">
      <w:pPr>
        <w:adjustRightInd w:val="0"/>
        <w:snapToGrid w:val="0"/>
        <w:ind w:firstLineChars="200" w:firstLine="480"/>
        <w:rPr>
          <w:rFonts w:asciiTheme="minorEastAsia" w:hAnsiTheme="minorEastAsia"/>
          <w:sz w:val="24"/>
          <w:szCs w:val="24"/>
        </w:rPr>
      </w:pPr>
      <w:r w:rsidRPr="00037E6E">
        <w:rPr>
          <w:rFonts w:asciiTheme="minorEastAsia" w:hAnsiTheme="minorEastAsia" w:hint="eastAsia"/>
          <w:sz w:val="24"/>
          <w:szCs w:val="24"/>
        </w:rPr>
        <w:t>四是明确违反哪些食品安全标准应承担惩罚性赔偿责任。《解释》第五条规定此问题时，虽未列举“食品生产经营过程的卫生要求”，但并未排除其适用。人民法院应当对食品不符合过程性食品安全标准是否影响食品安全作出认定。生熟食不分、有害物质与食品混放、包装材料或者运输工具污染食品等行为，违反过程性食品安全标准，危害食品安全的，应当依法承担惩罚性赔偿责任。</w:t>
      </w:r>
    </w:p>
    <w:p w:rsidR="00D75309" w:rsidRPr="00037E6E" w:rsidRDefault="00D75309" w:rsidP="00D75309">
      <w:pPr>
        <w:adjustRightInd w:val="0"/>
        <w:snapToGrid w:val="0"/>
        <w:ind w:firstLineChars="200" w:firstLine="480"/>
        <w:rPr>
          <w:rFonts w:asciiTheme="minorEastAsia" w:hAnsiTheme="minorEastAsia"/>
          <w:sz w:val="24"/>
          <w:szCs w:val="24"/>
        </w:rPr>
      </w:pPr>
      <w:r w:rsidRPr="00037E6E">
        <w:rPr>
          <w:rFonts w:asciiTheme="minorEastAsia" w:hAnsiTheme="minorEastAsia" w:hint="eastAsia"/>
          <w:sz w:val="24"/>
          <w:szCs w:val="24"/>
        </w:rPr>
        <w:t>五是规定标签、说明书瑕疵认定规则。食品标签、说明书不符合食品安全标准，生产者或者经营者是否应当承担惩罚性赔偿责任是社会广泛关注的问题。《解释》第六条至第八条分别对不属于食品标签说明书瑕疵的情形、食品标签说明书瑕疵的认定标准、食品标签说明书瑕疵的表现形式作出规定，统一裁判规则，回应社会关切。</w:t>
      </w:r>
    </w:p>
    <w:p w:rsidR="00D75309" w:rsidRPr="00037E6E" w:rsidRDefault="00D75309" w:rsidP="00D75309">
      <w:pPr>
        <w:adjustRightInd w:val="0"/>
        <w:snapToGrid w:val="0"/>
        <w:ind w:firstLineChars="200" w:firstLine="480"/>
        <w:rPr>
          <w:rFonts w:asciiTheme="minorEastAsia" w:hAnsiTheme="minorEastAsia"/>
          <w:sz w:val="24"/>
          <w:szCs w:val="24"/>
        </w:rPr>
      </w:pPr>
      <w:r w:rsidRPr="00037E6E">
        <w:rPr>
          <w:rFonts w:asciiTheme="minorEastAsia" w:hAnsiTheme="minorEastAsia" w:hint="eastAsia"/>
          <w:sz w:val="24"/>
          <w:szCs w:val="24"/>
        </w:rPr>
        <w:t>六是规定不同惩罚性赔偿责任的适用规则。《解释》第九条规定购买者有权选择“退一赔三”或者“退一赔十”，以加强消费者权益保护。本条还规定，购买者如果错误起诉“退一赔十”，诉讼中有权依法变更为要求“退一赔三”。因变更后的主张未超出原诉讼请求范围，人民法院可依法作出裁判，不要求购买者必须以变更诉讼请求的方式变更主张，避免增加维权成本、造成程序空转。</w:t>
      </w:r>
    </w:p>
    <w:p w:rsidR="00D75309" w:rsidRPr="00037E6E" w:rsidRDefault="00D75309" w:rsidP="00D75309">
      <w:pPr>
        <w:adjustRightInd w:val="0"/>
        <w:snapToGrid w:val="0"/>
        <w:ind w:firstLineChars="200" w:firstLine="480"/>
        <w:rPr>
          <w:rFonts w:asciiTheme="minorEastAsia" w:hAnsiTheme="minorEastAsia"/>
          <w:sz w:val="24"/>
          <w:szCs w:val="24"/>
        </w:rPr>
      </w:pPr>
      <w:r w:rsidRPr="00037E6E">
        <w:rPr>
          <w:rFonts w:asciiTheme="minorEastAsia" w:hAnsiTheme="minorEastAsia" w:hint="eastAsia"/>
          <w:sz w:val="24"/>
          <w:szCs w:val="24"/>
        </w:rPr>
        <w:t>七是规制恶意索赔。《解释》对恶意高额索赔、连续购买索赔和反复索赔行为予以规制。第十二条规定，对于“知假买假”者恶意高额索赔，在合理生活消费需要范围内依法支持其惩罚性赔偿请求。第十三条规定，对于“知假买假”者连续购买后索赔，按多次购买相同食品的总数，在合理生活消费需要范围内支持其惩罚性赔偿请求。第十四条规定，对于“知假买假”者连续购买并反复索赔，应当综合考虑保质期、普通消费者通常消费习惯、购买者的购买频次等因素，在合理生活消费需要范围内支持其惩罚性赔偿请求。</w:t>
      </w:r>
    </w:p>
    <w:p w:rsidR="00D75309" w:rsidRPr="00037E6E" w:rsidRDefault="00D75309" w:rsidP="00D75309">
      <w:pPr>
        <w:adjustRightInd w:val="0"/>
        <w:snapToGrid w:val="0"/>
        <w:ind w:firstLineChars="200" w:firstLine="480"/>
        <w:rPr>
          <w:rFonts w:asciiTheme="minorEastAsia" w:hAnsiTheme="minorEastAsia"/>
          <w:sz w:val="24"/>
          <w:szCs w:val="24"/>
        </w:rPr>
      </w:pPr>
      <w:r w:rsidRPr="00037E6E">
        <w:rPr>
          <w:rFonts w:asciiTheme="minorEastAsia" w:hAnsiTheme="minorEastAsia" w:hint="eastAsia"/>
          <w:sz w:val="24"/>
          <w:szCs w:val="24"/>
        </w:rPr>
        <w:t>八是惩治违法索赔。对于恶意制造违法生产经营食品药品的假象，勒索赔偿金，或者依据恶意制造的假象起诉请求支付赔偿金等违法索赔行为，《解释》第十五条至第十七条规定，上述行为构成虚假诉讼的，应当根据情节轻重对违法行为人予以罚款、拘留；涉嫌敲诈勒索或者虚假诉讼罪的，应当及时将有关违法犯罪线索、材料移送公安机关，以惩治违法索赔行为，保护生产经营者合法权益，维护正常市场秩序。</w:t>
      </w:r>
    </w:p>
    <w:p w:rsidR="00D75309" w:rsidRPr="00037E6E" w:rsidRDefault="00D75309" w:rsidP="00D75309">
      <w:pPr>
        <w:adjustRightInd w:val="0"/>
        <w:snapToGrid w:val="0"/>
        <w:ind w:firstLineChars="200" w:firstLine="480"/>
        <w:rPr>
          <w:rFonts w:asciiTheme="minorEastAsia" w:hAnsiTheme="minorEastAsia"/>
          <w:sz w:val="24"/>
          <w:szCs w:val="24"/>
        </w:rPr>
      </w:pPr>
      <w:r w:rsidRPr="00037E6E">
        <w:rPr>
          <w:rFonts w:asciiTheme="minorEastAsia" w:hAnsiTheme="minorEastAsia" w:hint="eastAsia"/>
          <w:sz w:val="24"/>
          <w:szCs w:val="24"/>
        </w:rPr>
        <w:t>与《解释》一同发布的还有四则食品安全惩罚性赔偿典型案例。典型案例与《解释》所彰显的司法理念和裁判规则一致，是对《解释》规定的生动诠释，有助于人民群众理解《解释》规定内容。</w:t>
      </w:r>
    </w:p>
    <w:p w:rsidR="00D75309" w:rsidRPr="00037E6E" w:rsidRDefault="00D75309" w:rsidP="00D75309">
      <w:pPr>
        <w:adjustRightInd w:val="0"/>
        <w:snapToGrid w:val="0"/>
        <w:ind w:firstLineChars="200" w:firstLine="480"/>
        <w:rPr>
          <w:rFonts w:asciiTheme="minorEastAsia" w:hAnsiTheme="minorEastAsia"/>
          <w:sz w:val="24"/>
          <w:szCs w:val="24"/>
        </w:rPr>
      </w:pPr>
      <w:r w:rsidRPr="00037E6E">
        <w:rPr>
          <w:rFonts w:asciiTheme="minorEastAsia" w:hAnsiTheme="minorEastAsia" w:hint="eastAsia"/>
          <w:sz w:val="24"/>
          <w:szCs w:val="24"/>
        </w:rPr>
        <w:t>下一步，最高人民法院还将与行政主管部门就加强民事审判与行政执法的衔</w:t>
      </w:r>
      <w:r w:rsidRPr="00037E6E">
        <w:rPr>
          <w:rFonts w:asciiTheme="minorEastAsia" w:hAnsiTheme="minorEastAsia" w:hint="eastAsia"/>
          <w:sz w:val="24"/>
          <w:szCs w:val="24"/>
        </w:rPr>
        <w:lastRenderedPageBreak/>
        <w:t>接机制进行协商，完善合作机制，形成法治合力；依法支持检察机关、有关组织提起公益诉讼，发挥公益诉讼打击和遏制市场主体违法行为的作用，推动形成共建共治共享的食品药品安全治理格局。</w:t>
      </w:r>
    </w:p>
    <w:p w:rsidR="00D75309" w:rsidRPr="00037E6E" w:rsidRDefault="00D75309" w:rsidP="00D75309">
      <w:pPr>
        <w:adjustRightInd w:val="0"/>
        <w:snapToGrid w:val="0"/>
        <w:ind w:firstLineChars="200" w:firstLine="480"/>
        <w:rPr>
          <w:rFonts w:asciiTheme="minorEastAsia" w:hAnsiTheme="minorEastAsia"/>
          <w:sz w:val="24"/>
          <w:szCs w:val="24"/>
        </w:rPr>
      </w:pPr>
      <w:r w:rsidRPr="00037E6E">
        <w:rPr>
          <w:rFonts w:asciiTheme="minorEastAsia" w:hAnsiTheme="minorEastAsia" w:hint="eastAsia"/>
          <w:sz w:val="24"/>
          <w:szCs w:val="24"/>
        </w:rPr>
        <w:t>《最高人民法院关于审理食品药品惩罚性赔偿纠纷案件适用法律若干问题的解释》已于2024年3月18日经最高人民法院审判委员会第1918次会议通过，现予公布，自2024年8月22日起施行。</w:t>
      </w:r>
    </w:p>
    <w:sectPr w:rsidR="00D75309" w:rsidRPr="00037E6E">
      <w:headerReference w:type="default" r:id="rId7"/>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A2076" w:rsidRDefault="00CA2076" w:rsidP="00D62759">
      <w:r>
        <w:separator/>
      </w:r>
    </w:p>
  </w:endnote>
  <w:endnote w:type="continuationSeparator" w:id="0">
    <w:p w:rsidR="00CA2076" w:rsidRDefault="00CA2076" w:rsidP="00D627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幼圆">
    <w:panose1 w:val="0201050906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70324086"/>
      <w:docPartObj>
        <w:docPartGallery w:val="Page Numbers (Bottom of Page)"/>
        <w:docPartUnique/>
      </w:docPartObj>
    </w:sdtPr>
    <w:sdtContent>
      <w:sdt>
        <w:sdtPr>
          <w:id w:val="-1769616900"/>
          <w:docPartObj>
            <w:docPartGallery w:val="Page Numbers (Top of Page)"/>
            <w:docPartUnique/>
          </w:docPartObj>
        </w:sdtPr>
        <w:sdtContent>
          <w:p w:rsidR="00670695" w:rsidRDefault="00670695">
            <w:pPr>
              <w:pStyle w:val="a4"/>
              <w:jc w:val="right"/>
            </w:pPr>
            <w:r>
              <w:rPr>
                <w:lang w:val="zh-CN"/>
              </w:rPr>
              <w:t xml:space="preserve"> </w:t>
            </w:r>
            <w:r>
              <w:rPr>
                <w:b/>
                <w:bCs/>
                <w:sz w:val="24"/>
                <w:szCs w:val="24"/>
              </w:rPr>
              <w:fldChar w:fldCharType="begin"/>
            </w:r>
            <w:r>
              <w:rPr>
                <w:b/>
                <w:bCs/>
              </w:rPr>
              <w:instrText>PAGE</w:instrText>
            </w:r>
            <w:r>
              <w:rPr>
                <w:b/>
                <w:bCs/>
                <w:sz w:val="24"/>
                <w:szCs w:val="24"/>
              </w:rPr>
              <w:fldChar w:fldCharType="separate"/>
            </w:r>
            <w:r w:rsidR="00356173">
              <w:rPr>
                <w:b/>
                <w:bCs/>
                <w:noProof/>
              </w:rPr>
              <w:t>12</w:t>
            </w:r>
            <w:r>
              <w:rPr>
                <w:b/>
                <w:bCs/>
                <w:sz w:val="24"/>
                <w:szCs w:val="24"/>
              </w:rPr>
              <w:fldChar w:fldCharType="end"/>
            </w:r>
            <w:r>
              <w:rPr>
                <w:lang w:val="zh-CN"/>
              </w:rPr>
              <w:t xml:space="preserve"> </w:t>
            </w:r>
            <w:r>
              <w:rPr>
                <w:lang w:val="zh-CN"/>
              </w:rPr>
              <w:t xml:space="preserve">/ </w:t>
            </w:r>
            <w:r>
              <w:rPr>
                <w:b/>
                <w:bCs/>
                <w:sz w:val="24"/>
                <w:szCs w:val="24"/>
              </w:rPr>
              <w:fldChar w:fldCharType="begin"/>
            </w:r>
            <w:r>
              <w:rPr>
                <w:b/>
                <w:bCs/>
              </w:rPr>
              <w:instrText>NUMPAGES</w:instrText>
            </w:r>
            <w:r>
              <w:rPr>
                <w:b/>
                <w:bCs/>
                <w:sz w:val="24"/>
                <w:szCs w:val="24"/>
              </w:rPr>
              <w:fldChar w:fldCharType="separate"/>
            </w:r>
            <w:r w:rsidR="00356173">
              <w:rPr>
                <w:b/>
                <w:bCs/>
                <w:noProof/>
              </w:rPr>
              <w:t>12</w:t>
            </w:r>
            <w:r>
              <w:rPr>
                <w:b/>
                <w:bCs/>
                <w:sz w:val="24"/>
                <w:szCs w:val="24"/>
              </w:rPr>
              <w:fldChar w:fldCharType="end"/>
            </w:r>
          </w:p>
        </w:sdtContent>
      </w:sdt>
    </w:sdtContent>
  </w:sdt>
  <w:p w:rsidR="00670695" w:rsidRDefault="00670695">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A2076" w:rsidRDefault="00CA2076" w:rsidP="00D62759">
      <w:r>
        <w:separator/>
      </w:r>
    </w:p>
  </w:footnote>
  <w:footnote w:type="continuationSeparator" w:id="0">
    <w:p w:rsidR="00CA2076" w:rsidRDefault="00CA2076" w:rsidP="00D6275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70695" w:rsidRPr="00670695" w:rsidRDefault="00670695" w:rsidP="00670695">
    <w:pPr>
      <w:pStyle w:val="a3"/>
      <w:jc w:val="left"/>
      <w:rPr>
        <w:rFonts w:ascii="幼圆" w:eastAsia="幼圆" w:hint="eastAsia"/>
        <w:b/>
        <w:color w:val="C00000"/>
        <w:sz w:val="24"/>
        <w:szCs w:val="24"/>
      </w:rPr>
    </w:pPr>
    <w:r w:rsidRPr="00670695">
      <w:rPr>
        <w:rFonts w:ascii="幼圆" w:eastAsia="幼圆" w:hint="eastAsia"/>
        <w:b/>
        <w:color w:val="C00000"/>
        <w:sz w:val="24"/>
        <w:szCs w:val="24"/>
      </w:rPr>
      <w:t>沪生堂——护生有方！</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1FAC"/>
    <w:rsid w:val="00037E6E"/>
    <w:rsid w:val="001F16BB"/>
    <w:rsid w:val="00356173"/>
    <w:rsid w:val="00670695"/>
    <w:rsid w:val="00AD5D6F"/>
    <w:rsid w:val="00B83DC1"/>
    <w:rsid w:val="00CA2076"/>
    <w:rsid w:val="00D62759"/>
    <w:rsid w:val="00D75309"/>
    <w:rsid w:val="00DA1FAC"/>
    <w:rsid w:val="00E135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A42F2BB8-4A22-49A0-984F-22DFD56E14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6275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62759"/>
    <w:rPr>
      <w:sz w:val="18"/>
      <w:szCs w:val="18"/>
    </w:rPr>
  </w:style>
  <w:style w:type="paragraph" w:styleId="a4">
    <w:name w:val="footer"/>
    <w:basedOn w:val="a"/>
    <w:link w:val="Char0"/>
    <w:uiPriority w:val="99"/>
    <w:unhideWhenUsed/>
    <w:rsid w:val="00D62759"/>
    <w:pPr>
      <w:tabs>
        <w:tab w:val="center" w:pos="4153"/>
        <w:tab w:val="right" w:pos="8306"/>
      </w:tabs>
      <w:snapToGrid w:val="0"/>
      <w:jc w:val="left"/>
    </w:pPr>
    <w:rPr>
      <w:sz w:val="18"/>
      <w:szCs w:val="18"/>
    </w:rPr>
  </w:style>
  <w:style w:type="character" w:customStyle="1" w:styleId="Char0">
    <w:name w:val="页脚 Char"/>
    <w:basedOn w:val="a0"/>
    <w:link w:val="a4"/>
    <w:uiPriority w:val="99"/>
    <w:rsid w:val="00D62759"/>
    <w:rPr>
      <w:sz w:val="18"/>
      <w:szCs w:val="18"/>
    </w:rPr>
  </w:style>
  <w:style w:type="character" w:customStyle="1" w:styleId="bjh-p">
    <w:name w:val="bjh-p"/>
    <w:basedOn w:val="a0"/>
    <w:rsid w:val="00D62759"/>
  </w:style>
  <w:style w:type="character" w:customStyle="1" w:styleId="bjh-strong">
    <w:name w:val="bjh-strong"/>
    <w:basedOn w:val="a0"/>
    <w:rsid w:val="00D62759"/>
  </w:style>
  <w:style w:type="paragraph" w:styleId="a5">
    <w:name w:val="Date"/>
    <w:basedOn w:val="a"/>
    <w:next w:val="a"/>
    <w:link w:val="Char1"/>
    <w:uiPriority w:val="99"/>
    <w:semiHidden/>
    <w:unhideWhenUsed/>
    <w:rsid w:val="00037E6E"/>
    <w:pPr>
      <w:ind w:leftChars="2500" w:left="100"/>
    </w:pPr>
  </w:style>
  <w:style w:type="character" w:customStyle="1" w:styleId="Char1">
    <w:name w:val="日期 Char"/>
    <w:basedOn w:val="a0"/>
    <w:link w:val="a5"/>
    <w:uiPriority w:val="99"/>
    <w:semiHidden/>
    <w:rsid w:val="00037E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83548709">
      <w:bodyDiv w:val="1"/>
      <w:marLeft w:val="0"/>
      <w:marRight w:val="0"/>
      <w:marTop w:val="0"/>
      <w:marBottom w:val="0"/>
      <w:divBdr>
        <w:top w:val="none" w:sz="0" w:space="0" w:color="auto"/>
        <w:left w:val="none" w:sz="0" w:space="0" w:color="auto"/>
        <w:bottom w:val="none" w:sz="0" w:space="0" w:color="auto"/>
        <w:right w:val="none" w:sz="0" w:space="0" w:color="auto"/>
      </w:divBdr>
      <w:divsChild>
        <w:div w:id="893395467">
          <w:marLeft w:val="0"/>
          <w:marRight w:val="0"/>
          <w:marTop w:val="360"/>
          <w:marBottom w:val="0"/>
          <w:divBdr>
            <w:top w:val="none" w:sz="0" w:space="0" w:color="auto"/>
            <w:left w:val="none" w:sz="0" w:space="0" w:color="auto"/>
            <w:bottom w:val="none" w:sz="0" w:space="0" w:color="auto"/>
            <w:right w:val="none" w:sz="0" w:space="0" w:color="auto"/>
          </w:divBdr>
        </w:div>
        <w:div w:id="514543313">
          <w:marLeft w:val="0"/>
          <w:marRight w:val="0"/>
          <w:marTop w:val="360"/>
          <w:marBottom w:val="0"/>
          <w:divBdr>
            <w:top w:val="none" w:sz="0" w:space="0" w:color="auto"/>
            <w:left w:val="none" w:sz="0" w:space="0" w:color="auto"/>
            <w:bottom w:val="none" w:sz="0" w:space="0" w:color="auto"/>
            <w:right w:val="none" w:sz="0" w:space="0" w:color="auto"/>
          </w:divBdr>
        </w:div>
        <w:div w:id="1243755402">
          <w:marLeft w:val="0"/>
          <w:marRight w:val="0"/>
          <w:marTop w:val="360"/>
          <w:marBottom w:val="0"/>
          <w:divBdr>
            <w:top w:val="none" w:sz="0" w:space="0" w:color="auto"/>
            <w:left w:val="none" w:sz="0" w:space="0" w:color="auto"/>
            <w:bottom w:val="none" w:sz="0" w:space="0" w:color="auto"/>
            <w:right w:val="none" w:sz="0" w:space="0" w:color="auto"/>
          </w:divBdr>
        </w:div>
        <w:div w:id="1093354969">
          <w:marLeft w:val="0"/>
          <w:marRight w:val="0"/>
          <w:marTop w:val="360"/>
          <w:marBottom w:val="0"/>
          <w:divBdr>
            <w:top w:val="none" w:sz="0" w:space="0" w:color="auto"/>
            <w:left w:val="none" w:sz="0" w:space="0" w:color="auto"/>
            <w:bottom w:val="none" w:sz="0" w:space="0" w:color="auto"/>
            <w:right w:val="none" w:sz="0" w:space="0" w:color="auto"/>
          </w:divBdr>
        </w:div>
        <w:div w:id="946351137">
          <w:marLeft w:val="0"/>
          <w:marRight w:val="0"/>
          <w:marTop w:val="360"/>
          <w:marBottom w:val="0"/>
          <w:divBdr>
            <w:top w:val="none" w:sz="0" w:space="0" w:color="auto"/>
            <w:left w:val="none" w:sz="0" w:space="0" w:color="auto"/>
            <w:bottom w:val="none" w:sz="0" w:space="0" w:color="auto"/>
            <w:right w:val="none" w:sz="0" w:space="0" w:color="auto"/>
          </w:divBdr>
        </w:div>
        <w:div w:id="2062821866">
          <w:marLeft w:val="0"/>
          <w:marRight w:val="0"/>
          <w:marTop w:val="360"/>
          <w:marBottom w:val="0"/>
          <w:divBdr>
            <w:top w:val="none" w:sz="0" w:space="0" w:color="auto"/>
            <w:left w:val="none" w:sz="0" w:space="0" w:color="auto"/>
            <w:bottom w:val="none" w:sz="0" w:space="0" w:color="auto"/>
            <w:right w:val="none" w:sz="0" w:space="0" w:color="auto"/>
          </w:divBdr>
        </w:div>
        <w:div w:id="406734268">
          <w:marLeft w:val="0"/>
          <w:marRight w:val="0"/>
          <w:marTop w:val="360"/>
          <w:marBottom w:val="0"/>
          <w:divBdr>
            <w:top w:val="none" w:sz="0" w:space="0" w:color="auto"/>
            <w:left w:val="none" w:sz="0" w:space="0" w:color="auto"/>
            <w:bottom w:val="none" w:sz="0" w:space="0" w:color="auto"/>
            <w:right w:val="none" w:sz="0" w:space="0" w:color="auto"/>
          </w:divBdr>
        </w:div>
        <w:div w:id="1450398411">
          <w:marLeft w:val="0"/>
          <w:marRight w:val="0"/>
          <w:marTop w:val="360"/>
          <w:marBottom w:val="0"/>
          <w:divBdr>
            <w:top w:val="none" w:sz="0" w:space="0" w:color="auto"/>
            <w:left w:val="none" w:sz="0" w:space="0" w:color="auto"/>
            <w:bottom w:val="none" w:sz="0" w:space="0" w:color="auto"/>
            <w:right w:val="none" w:sz="0" w:space="0" w:color="auto"/>
          </w:divBdr>
        </w:div>
        <w:div w:id="1135878076">
          <w:marLeft w:val="0"/>
          <w:marRight w:val="0"/>
          <w:marTop w:val="360"/>
          <w:marBottom w:val="0"/>
          <w:divBdr>
            <w:top w:val="none" w:sz="0" w:space="0" w:color="auto"/>
            <w:left w:val="none" w:sz="0" w:space="0" w:color="auto"/>
            <w:bottom w:val="none" w:sz="0" w:space="0" w:color="auto"/>
            <w:right w:val="none" w:sz="0" w:space="0" w:color="auto"/>
          </w:divBdr>
        </w:div>
        <w:div w:id="2029141696">
          <w:marLeft w:val="0"/>
          <w:marRight w:val="0"/>
          <w:marTop w:val="360"/>
          <w:marBottom w:val="0"/>
          <w:divBdr>
            <w:top w:val="none" w:sz="0" w:space="0" w:color="auto"/>
            <w:left w:val="none" w:sz="0" w:space="0" w:color="auto"/>
            <w:bottom w:val="none" w:sz="0" w:space="0" w:color="auto"/>
            <w:right w:val="none" w:sz="0" w:space="0" w:color="auto"/>
          </w:divBdr>
        </w:div>
        <w:div w:id="1848405434">
          <w:marLeft w:val="0"/>
          <w:marRight w:val="0"/>
          <w:marTop w:val="360"/>
          <w:marBottom w:val="0"/>
          <w:divBdr>
            <w:top w:val="none" w:sz="0" w:space="0" w:color="auto"/>
            <w:left w:val="none" w:sz="0" w:space="0" w:color="auto"/>
            <w:bottom w:val="none" w:sz="0" w:space="0" w:color="auto"/>
            <w:right w:val="none" w:sz="0" w:space="0" w:color="auto"/>
          </w:divBdr>
        </w:div>
        <w:div w:id="695499341">
          <w:marLeft w:val="0"/>
          <w:marRight w:val="0"/>
          <w:marTop w:val="360"/>
          <w:marBottom w:val="0"/>
          <w:divBdr>
            <w:top w:val="none" w:sz="0" w:space="0" w:color="auto"/>
            <w:left w:val="none" w:sz="0" w:space="0" w:color="auto"/>
            <w:bottom w:val="none" w:sz="0" w:space="0" w:color="auto"/>
            <w:right w:val="none" w:sz="0" w:space="0" w:color="auto"/>
          </w:divBdr>
        </w:div>
        <w:div w:id="132917890">
          <w:marLeft w:val="0"/>
          <w:marRight w:val="0"/>
          <w:marTop w:val="360"/>
          <w:marBottom w:val="0"/>
          <w:divBdr>
            <w:top w:val="none" w:sz="0" w:space="0" w:color="auto"/>
            <w:left w:val="none" w:sz="0" w:space="0" w:color="auto"/>
            <w:bottom w:val="none" w:sz="0" w:space="0" w:color="auto"/>
            <w:right w:val="none" w:sz="0" w:space="0" w:color="auto"/>
          </w:divBdr>
        </w:div>
        <w:div w:id="1378361556">
          <w:marLeft w:val="0"/>
          <w:marRight w:val="0"/>
          <w:marTop w:val="360"/>
          <w:marBottom w:val="0"/>
          <w:divBdr>
            <w:top w:val="none" w:sz="0" w:space="0" w:color="auto"/>
            <w:left w:val="none" w:sz="0" w:space="0" w:color="auto"/>
            <w:bottom w:val="none" w:sz="0" w:space="0" w:color="auto"/>
            <w:right w:val="none" w:sz="0" w:space="0" w:color="auto"/>
          </w:divBdr>
        </w:div>
        <w:div w:id="1902060442">
          <w:marLeft w:val="0"/>
          <w:marRight w:val="0"/>
          <w:marTop w:val="360"/>
          <w:marBottom w:val="0"/>
          <w:divBdr>
            <w:top w:val="none" w:sz="0" w:space="0" w:color="auto"/>
            <w:left w:val="none" w:sz="0" w:space="0" w:color="auto"/>
            <w:bottom w:val="none" w:sz="0" w:space="0" w:color="auto"/>
            <w:right w:val="none" w:sz="0" w:space="0" w:color="auto"/>
          </w:divBdr>
        </w:div>
        <w:div w:id="1612122831">
          <w:marLeft w:val="0"/>
          <w:marRight w:val="0"/>
          <w:marTop w:val="360"/>
          <w:marBottom w:val="0"/>
          <w:divBdr>
            <w:top w:val="none" w:sz="0" w:space="0" w:color="auto"/>
            <w:left w:val="none" w:sz="0" w:space="0" w:color="auto"/>
            <w:bottom w:val="none" w:sz="0" w:space="0" w:color="auto"/>
            <w:right w:val="none" w:sz="0" w:space="0" w:color="auto"/>
          </w:divBdr>
        </w:div>
        <w:div w:id="786434669">
          <w:marLeft w:val="0"/>
          <w:marRight w:val="0"/>
          <w:marTop w:val="360"/>
          <w:marBottom w:val="0"/>
          <w:divBdr>
            <w:top w:val="none" w:sz="0" w:space="0" w:color="auto"/>
            <w:left w:val="none" w:sz="0" w:space="0" w:color="auto"/>
            <w:bottom w:val="none" w:sz="0" w:space="0" w:color="auto"/>
            <w:right w:val="none" w:sz="0" w:space="0" w:color="auto"/>
          </w:divBdr>
        </w:div>
        <w:div w:id="312873140">
          <w:marLeft w:val="0"/>
          <w:marRight w:val="0"/>
          <w:marTop w:val="360"/>
          <w:marBottom w:val="0"/>
          <w:divBdr>
            <w:top w:val="none" w:sz="0" w:space="0" w:color="auto"/>
            <w:left w:val="none" w:sz="0" w:space="0" w:color="auto"/>
            <w:bottom w:val="none" w:sz="0" w:space="0" w:color="auto"/>
            <w:right w:val="none" w:sz="0" w:space="0" w:color="auto"/>
          </w:divBdr>
        </w:div>
        <w:div w:id="1750956779">
          <w:marLeft w:val="0"/>
          <w:marRight w:val="0"/>
          <w:marTop w:val="360"/>
          <w:marBottom w:val="0"/>
          <w:divBdr>
            <w:top w:val="none" w:sz="0" w:space="0" w:color="auto"/>
            <w:left w:val="none" w:sz="0" w:space="0" w:color="auto"/>
            <w:bottom w:val="none" w:sz="0" w:space="0" w:color="auto"/>
            <w:right w:val="none" w:sz="0" w:space="0" w:color="auto"/>
          </w:divBdr>
        </w:div>
        <w:div w:id="1035891503">
          <w:marLeft w:val="0"/>
          <w:marRight w:val="0"/>
          <w:marTop w:val="360"/>
          <w:marBottom w:val="0"/>
          <w:divBdr>
            <w:top w:val="none" w:sz="0" w:space="0" w:color="auto"/>
            <w:left w:val="none" w:sz="0" w:space="0" w:color="auto"/>
            <w:bottom w:val="none" w:sz="0" w:space="0" w:color="auto"/>
            <w:right w:val="none" w:sz="0" w:space="0" w:color="auto"/>
          </w:divBdr>
        </w:div>
        <w:div w:id="183371166">
          <w:marLeft w:val="0"/>
          <w:marRight w:val="0"/>
          <w:marTop w:val="360"/>
          <w:marBottom w:val="0"/>
          <w:divBdr>
            <w:top w:val="none" w:sz="0" w:space="0" w:color="auto"/>
            <w:left w:val="none" w:sz="0" w:space="0" w:color="auto"/>
            <w:bottom w:val="none" w:sz="0" w:space="0" w:color="auto"/>
            <w:right w:val="none" w:sz="0" w:space="0" w:color="auto"/>
          </w:divBdr>
        </w:div>
        <w:div w:id="130755370">
          <w:marLeft w:val="0"/>
          <w:marRight w:val="0"/>
          <w:marTop w:val="360"/>
          <w:marBottom w:val="0"/>
          <w:divBdr>
            <w:top w:val="none" w:sz="0" w:space="0" w:color="auto"/>
            <w:left w:val="none" w:sz="0" w:space="0" w:color="auto"/>
            <w:bottom w:val="none" w:sz="0" w:space="0" w:color="auto"/>
            <w:right w:val="none" w:sz="0" w:space="0" w:color="auto"/>
          </w:divBdr>
        </w:div>
        <w:div w:id="150483044">
          <w:marLeft w:val="0"/>
          <w:marRight w:val="0"/>
          <w:marTop w:val="360"/>
          <w:marBottom w:val="0"/>
          <w:divBdr>
            <w:top w:val="none" w:sz="0" w:space="0" w:color="auto"/>
            <w:left w:val="none" w:sz="0" w:space="0" w:color="auto"/>
            <w:bottom w:val="none" w:sz="0" w:space="0" w:color="auto"/>
            <w:right w:val="none" w:sz="0" w:space="0" w:color="auto"/>
          </w:divBdr>
        </w:div>
        <w:div w:id="178005010">
          <w:marLeft w:val="0"/>
          <w:marRight w:val="0"/>
          <w:marTop w:val="360"/>
          <w:marBottom w:val="0"/>
          <w:divBdr>
            <w:top w:val="none" w:sz="0" w:space="0" w:color="auto"/>
            <w:left w:val="none" w:sz="0" w:space="0" w:color="auto"/>
            <w:bottom w:val="none" w:sz="0" w:space="0" w:color="auto"/>
            <w:right w:val="none" w:sz="0" w:space="0" w:color="auto"/>
          </w:divBdr>
        </w:div>
        <w:div w:id="1350333802">
          <w:marLeft w:val="0"/>
          <w:marRight w:val="0"/>
          <w:marTop w:val="360"/>
          <w:marBottom w:val="0"/>
          <w:divBdr>
            <w:top w:val="none" w:sz="0" w:space="0" w:color="auto"/>
            <w:left w:val="none" w:sz="0" w:space="0" w:color="auto"/>
            <w:bottom w:val="none" w:sz="0" w:space="0" w:color="auto"/>
            <w:right w:val="none" w:sz="0" w:space="0" w:color="auto"/>
          </w:divBdr>
        </w:div>
        <w:div w:id="440805242">
          <w:marLeft w:val="0"/>
          <w:marRight w:val="0"/>
          <w:marTop w:val="360"/>
          <w:marBottom w:val="0"/>
          <w:divBdr>
            <w:top w:val="none" w:sz="0" w:space="0" w:color="auto"/>
            <w:left w:val="none" w:sz="0" w:space="0" w:color="auto"/>
            <w:bottom w:val="none" w:sz="0" w:space="0" w:color="auto"/>
            <w:right w:val="none" w:sz="0" w:space="0" w:color="auto"/>
          </w:divBdr>
        </w:div>
        <w:div w:id="2064940977">
          <w:marLeft w:val="0"/>
          <w:marRight w:val="0"/>
          <w:marTop w:val="360"/>
          <w:marBottom w:val="0"/>
          <w:divBdr>
            <w:top w:val="none" w:sz="0" w:space="0" w:color="auto"/>
            <w:left w:val="none" w:sz="0" w:space="0" w:color="auto"/>
            <w:bottom w:val="none" w:sz="0" w:space="0" w:color="auto"/>
            <w:right w:val="none" w:sz="0" w:space="0" w:color="auto"/>
          </w:divBdr>
        </w:div>
        <w:div w:id="1457069614">
          <w:marLeft w:val="0"/>
          <w:marRight w:val="0"/>
          <w:marTop w:val="360"/>
          <w:marBottom w:val="0"/>
          <w:divBdr>
            <w:top w:val="none" w:sz="0" w:space="0" w:color="auto"/>
            <w:left w:val="none" w:sz="0" w:space="0" w:color="auto"/>
            <w:bottom w:val="none" w:sz="0" w:space="0" w:color="auto"/>
            <w:right w:val="none" w:sz="0" w:space="0" w:color="auto"/>
          </w:divBdr>
        </w:div>
        <w:div w:id="1309869374">
          <w:marLeft w:val="0"/>
          <w:marRight w:val="0"/>
          <w:marTop w:val="360"/>
          <w:marBottom w:val="0"/>
          <w:divBdr>
            <w:top w:val="none" w:sz="0" w:space="0" w:color="auto"/>
            <w:left w:val="none" w:sz="0" w:space="0" w:color="auto"/>
            <w:bottom w:val="none" w:sz="0" w:space="0" w:color="auto"/>
            <w:right w:val="none" w:sz="0" w:space="0" w:color="auto"/>
          </w:divBdr>
        </w:div>
        <w:div w:id="758595711">
          <w:marLeft w:val="0"/>
          <w:marRight w:val="0"/>
          <w:marTop w:val="360"/>
          <w:marBottom w:val="0"/>
          <w:divBdr>
            <w:top w:val="none" w:sz="0" w:space="0" w:color="auto"/>
            <w:left w:val="none" w:sz="0" w:space="0" w:color="auto"/>
            <w:bottom w:val="none" w:sz="0" w:space="0" w:color="auto"/>
            <w:right w:val="none" w:sz="0" w:space="0" w:color="auto"/>
          </w:divBdr>
        </w:div>
        <w:div w:id="1388531072">
          <w:marLeft w:val="0"/>
          <w:marRight w:val="0"/>
          <w:marTop w:val="360"/>
          <w:marBottom w:val="0"/>
          <w:divBdr>
            <w:top w:val="none" w:sz="0" w:space="0" w:color="auto"/>
            <w:left w:val="none" w:sz="0" w:space="0" w:color="auto"/>
            <w:bottom w:val="none" w:sz="0" w:space="0" w:color="auto"/>
            <w:right w:val="none" w:sz="0" w:space="0" w:color="auto"/>
          </w:divBdr>
        </w:div>
        <w:div w:id="1217008688">
          <w:marLeft w:val="0"/>
          <w:marRight w:val="0"/>
          <w:marTop w:val="360"/>
          <w:marBottom w:val="0"/>
          <w:divBdr>
            <w:top w:val="none" w:sz="0" w:space="0" w:color="auto"/>
            <w:left w:val="none" w:sz="0" w:space="0" w:color="auto"/>
            <w:bottom w:val="none" w:sz="0" w:space="0" w:color="auto"/>
            <w:right w:val="none" w:sz="0" w:space="0" w:color="auto"/>
          </w:divBdr>
        </w:div>
        <w:div w:id="91435032">
          <w:marLeft w:val="0"/>
          <w:marRight w:val="0"/>
          <w:marTop w:val="360"/>
          <w:marBottom w:val="0"/>
          <w:divBdr>
            <w:top w:val="none" w:sz="0" w:space="0" w:color="auto"/>
            <w:left w:val="none" w:sz="0" w:space="0" w:color="auto"/>
            <w:bottom w:val="none" w:sz="0" w:space="0" w:color="auto"/>
            <w:right w:val="none" w:sz="0" w:space="0" w:color="auto"/>
          </w:divBdr>
        </w:div>
        <w:div w:id="779489344">
          <w:marLeft w:val="0"/>
          <w:marRight w:val="0"/>
          <w:marTop w:val="360"/>
          <w:marBottom w:val="0"/>
          <w:divBdr>
            <w:top w:val="none" w:sz="0" w:space="0" w:color="auto"/>
            <w:left w:val="none" w:sz="0" w:space="0" w:color="auto"/>
            <w:bottom w:val="none" w:sz="0" w:space="0" w:color="auto"/>
            <w:right w:val="none" w:sz="0" w:space="0" w:color="auto"/>
          </w:divBdr>
        </w:div>
        <w:div w:id="8917450">
          <w:marLeft w:val="0"/>
          <w:marRight w:val="0"/>
          <w:marTop w:val="360"/>
          <w:marBottom w:val="0"/>
          <w:divBdr>
            <w:top w:val="none" w:sz="0" w:space="0" w:color="auto"/>
            <w:left w:val="none" w:sz="0" w:space="0" w:color="auto"/>
            <w:bottom w:val="none" w:sz="0" w:space="0" w:color="auto"/>
            <w:right w:val="none" w:sz="0" w:space="0" w:color="auto"/>
          </w:divBdr>
        </w:div>
        <w:div w:id="1989312440">
          <w:marLeft w:val="0"/>
          <w:marRight w:val="0"/>
          <w:marTop w:val="360"/>
          <w:marBottom w:val="0"/>
          <w:divBdr>
            <w:top w:val="none" w:sz="0" w:space="0" w:color="auto"/>
            <w:left w:val="none" w:sz="0" w:space="0" w:color="auto"/>
            <w:bottom w:val="none" w:sz="0" w:space="0" w:color="auto"/>
            <w:right w:val="none" w:sz="0" w:space="0" w:color="auto"/>
          </w:divBdr>
        </w:div>
        <w:div w:id="1897936224">
          <w:marLeft w:val="0"/>
          <w:marRight w:val="0"/>
          <w:marTop w:val="360"/>
          <w:marBottom w:val="0"/>
          <w:divBdr>
            <w:top w:val="none" w:sz="0" w:space="0" w:color="auto"/>
            <w:left w:val="none" w:sz="0" w:space="0" w:color="auto"/>
            <w:bottom w:val="none" w:sz="0" w:space="0" w:color="auto"/>
            <w:right w:val="none" w:sz="0" w:space="0" w:color="auto"/>
          </w:divBdr>
        </w:div>
        <w:div w:id="1197233311">
          <w:marLeft w:val="0"/>
          <w:marRight w:val="0"/>
          <w:marTop w:val="360"/>
          <w:marBottom w:val="0"/>
          <w:divBdr>
            <w:top w:val="none" w:sz="0" w:space="0" w:color="auto"/>
            <w:left w:val="none" w:sz="0" w:space="0" w:color="auto"/>
            <w:bottom w:val="none" w:sz="0" w:space="0" w:color="auto"/>
            <w:right w:val="none" w:sz="0" w:space="0" w:color="auto"/>
          </w:divBdr>
        </w:div>
        <w:div w:id="2098401083">
          <w:marLeft w:val="0"/>
          <w:marRight w:val="0"/>
          <w:marTop w:val="360"/>
          <w:marBottom w:val="0"/>
          <w:divBdr>
            <w:top w:val="none" w:sz="0" w:space="0" w:color="auto"/>
            <w:left w:val="none" w:sz="0" w:space="0" w:color="auto"/>
            <w:bottom w:val="none" w:sz="0" w:space="0" w:color="auto"/>
            <w:right w:val="none" w:sz="0" w:space="0" w:color="auto"/>
          </w:divBdr>
        </w:div>
        <w:div w:id="1484541926">
          <w:marLeft w:val="0"/>
          <w:marRight w:val="0"/>
          <w:marTop w:val="360"/>
          <w:marBottom w:val="0"/>
          <w:divBdr>
            <w:top w:val="none" w:sz="0" w:space="0" w:color="auto"/>
            <w:left w:val="none" w:sz="0" w:space="0" w:color="auto"/>
            <w:bottom w:val="none" w:sz="0" w:space="0" w:color="auto"/>
            <w:right w:val="none" w:sz="0" w:space="0" w:color="auto"/>
          </w:divBdr>
        </w:div>
        <w:div w:id="1125660725">
          <w:marLeft w:val="0"/>
          <w:marRight w:val="0"/>
          <w:marTop w:val="360"/>
          <w:marBottom w:val="0"/>
          <w:divBdr>
            <w:top w:val="none" w:sz="0" w:space="0" w:color="auto"/>
            <w:left w:val="none" w:sz="0" w:space="0" w:color="auto"/>
            <w:bottom w:val="none" w:sz="0" w:space="0" w:color="auto"/>
            <w:right w:val="none" w:sz="0" w:space="0" w:color="auto"/>
          </w:divBdr>
        </w:div>
        <w:div w:id="1768766269">
          <w:marLeft w:val="0"/>
          <w:marRight w:val="0"/>
          <w:marTop w:val="360"/>
          <w:marBottom w:val="0"/>
          <w:divBdr>
            <w:top w:val="none" w:sz="0" w:space="0" w:color="auto"/>
            <w:left w:val="none" w:sz="0" w:space="0" w:color="auto"/>
            <w:bottom w:val="none" w:sz="0" w:space="0" w:color="auto"/>
            <w:right w:val="none" w:sz="0" w:space="0" w:color="auto"/>
          </w:divBdr>
        </w:div>
        <w:div w:id="544760054">
          <w:marLeft w:val="0"/>
          <w:marRight w:val="0"/>
          <w:marTop w:val="360"/>
          <w:marBottom w:val="0"/>
          <w:divBdr>
            <w:top w:val="none" w:sz="0" w:space="0" w:color="auto"/>
            <w:left w:val="none" w:sz="0" w:space="0" w:color="auto"/>
            <w:bottom w:val="none" w:sz="0" w:space="0" w:color="auto"/>
            <w:right w:val="none" w:sz="0" w:space="0" w:color="auto"/>
          </w:divBdr>
        </w:div>
        <w:div w:id="1490167959">
          <w:marLeft w:val="0"/>
          <w:marRight w:val="0"/>
          <w:marTop w:val="360"/>
          <w:marBottom w:val="0"/>
          <w:divBdr>
            <w:top w:val="none" w:sz="0" w:space="0" w:color="auto"/>
            <w:left w:val="none" w:sz="0" w:space="0" w:color="auto"/>
            <w:bottom w:val="none" w:sz="0" w:space="0" w:color="auto"/>
            <w:right w:val="none" w:sz="0" w:space="0" w:color="auto"/>
          </w:divBdr>
        </w:div>
        <w:div w:id="829948643">
          <w:marLeft w:val="0"/>
          <w:marRight w:val="0"/>
          <w:marTop w:val="360"/>
          <w:marBottom w:val="0"/>
          <w:divBdr>
            <w:top w:val="none" w:sz="0" w:space="0" w:color="auto"/>
            <w:left w:val="none" w:sz="0" w:space="0" w:color="auto"/>
            <w:bottom w:val="none" w:sz="0" w:space="0" w:color="auto"/>
            <w:right w:val="none" w:sz="0" w:space="0" w:color="auto"/>
          </w:divBdr>
        </w:div>
        <w:div w:id="1279873206">
          <w:marLeft w:val="0"/>
          <w:marRight w:val="0"/>
          <w:marTop w:val="360"/>
          <w:marBottom w:val="0"/>
          <w:divBdr>
            <w:top w:val="none" w:sz="0" w:space="0" w:color="auto"/>
            <w:left w:val="none" w:sz="0" w:space="0" w:color="auto"/>
            <w:bottom w:val="none" w:sz="0" w:space="0" w:color="auto"/>
            <w:right w:val="none" w:sz="0" w:space="0" w:color="auto"/>
          </w:divBdr>
        </w:div>
        <w:div w:id="2032487636">
          <w:marLeft w:val="0"/>
          <w:marRight w:val="0"/>
          <w:marTop w:val="360"/>
          <w:marBottom w:val="0"/>
          <w:divBdr>
            <w:top w:val="none" w:sz="0" w:space="0" w:color="auto"/>
            <w:left w:val="none" w:sz="0" w:space="0" w:color="auto"/>
            <w:bottom w:val="none" w:sz="0" w:space="0" w:color="auto"/>
            <w:right w:val="none" w:sz="0" w:space="0" w:color="auto"/>
          </w:divBdr>
        </w:div>
        <w:div w:id="1943535688">
          <w:marLeft w:val="0"/>
          <w:marRight w:val="0"/>
          <w:marTop w:val="360"/>
          <w:marBottom w:val="0"/>
          <w:divBdr>
            <w:top w:val="none" w:sz="0" w:space="0" w:color="auto"/>
            <w:left w:val="none" w:sz="0" w:space="0" w:color="auto"/>
            <w:bottom w:val="none" w:sz="0" w:space="0" w:color="auto"/>
            <w:right w:val="none" w:sz="0" w:space="0" w:color="auto"/>
          </w:divBdr>
        </w:div>
        <w:div w:id="1353189300">
          <w:marLeft w:val="0"/>
          <w:marRight w:val="0"/>
          <w:marTop w:val="36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5C1508-BF38-4ECC-8373-FAC67EDDB3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12</Pages>
  <Words>1079</Words>
  <Characters>6152</Characters>
  <Application>Microsoft Office Word</Application>
  <DocSecurity>0</DocSecurity>
  <Lines>51</Lines>
  <Paragraphs>14</Paragraphs>
  <ScaleCrop>false</ScaleCrop>
  <Company>微软中国</Company>
  <LinksUpToDate>false</LinksUpToDate>
  <CharactersWithSpaces>7217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7</cp:revision>
  <cp:lastPrinted>2024-08-21T11:54:00Z</cp:lastPrinted>
  <dcterms:created xsi:type="dcterms:W3CDTF">2024-08-21T11:31:00Z</dcterms:created>
  <dcterms:modified xsi:type="dcterms:W3CDTF">2024-08-21T11:55:00Z</dcterms:modified>
</cp:coreProperties>
</file>